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项目名称：犬伤门诊电子核签系统等（第二次</w:t>
      </w:r>
      <w:bookmarkStart w:id="7" w:name="_GoBack"/>
      <w:bookmarkEnd w:id="7"/>
      <w:r>
        <w:rPr>
          <w:rFonts w:hint="eastAsia"/>
          <w:sz w:val="44"/>
          <w:szCs w:val="44"/>
          <w:lang w:val="en-US" w:eastAsia="zh-CN"/>
        </w:rPr>
        <w:t>）</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项目编号：BSRMYY-YNCG-2024-08001</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0EF66B1B">
      <w:pPr>
        <w:jc w:val="center"/>
        <w:rPr>
          <w:rFonts w:hint="default"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采购需求介绍</w:t>
      </w:r>
    </w:p>
    <w:p w14:paraId="289BFCFF">
      <w:pPr>
        <w:pStyle w:val="3"/>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采购项目内容</w:t>
      </w:r>
    </w:p>
    <w:tbl>
      <w:tblPr>
        <w:tblStyle w:val="14"/>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28"/>
        <w:gridCol w:w="6321"/>
        <w:gridCol w:w="1116"/>
        <w:gridCol w:w="1489"/>
      </w:tblGrid>
      <w:tr w14:paraId="0322EC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1" w:type="pct"/>
            <w:vAlign w:val="center"/>
          </w:tcPr>
          <w:p w14:paraId="645FA94D">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3206" w:type="pct"/>
            <w:vAlign w:val="center"/>
          </w:tcPr>
          <w:p w14:paraId="0F2C143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566" w:type="pct"/>
            <w:vAlign w:val="center"/>
          </w:tcPr>
          <w:p w14:paraId="4241471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755" w:type="pct"/>
            <w:vAlign w:val="center"/>
          </w:tcPr>
          <w:p w14:paraId="617910D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单位</w:t>
            </w:r>
          </w:p>
        </w:tc>
      </w:tr>
      <w:tr w14:paraId="597BE0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1" w:type="pct"/>
            <w:vAlign w:val="center"/>
          </w:tcPr>
          <w:p w14:paraId="7B8BEA79">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3206" w:type="pct"/>
            <w:vAlign w:val="center"/>
          </w:tcPr>
          <w:p w14:paraId="4C2D9CC3">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犬伤电子核签系统</w:t>
            </w:r>
          </w:p>
        </w:tc>
        <w:tc>
          <w:tcPr>
            <w:tcW w:w="566" w:type="pct"/>
            <w:vAlign w:val="center"/>
          </w:tcPr>
          <w:p w14:paraId="6220388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755" w:type="pct"/>
            <w:vAlign w:val="center"/>
          </w:tcPr>
          <w:p w14:paraId="0FED0C1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套</w:t>
            </w:r>
          </w:p>
        </w:tc>
      </w:tr>
      <w:tr w14:paraId="43E26A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1" w:type="pct"/>
            <w:vAlign w:val="center"/>
          </w:tcPr>
          <w:p w14:paraId="50A057A3">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c>
          <w:tcPr>
            <w:tcW w:w="3206" w:type="pct"/>
            <w:vAlign w:val="center"/>
          </w:tcPr>
          <w:p w14:paraId="21FF4396">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犬伤接种告知系统</w:t>
            </w:r>
          </w:p>
        </w:tc>
        <w:tc>
          <w:tcPr>
            <w:tcW w:w="566" w:type="pct"/>
            <w:vAlign w:val="center"/>
          </w:tcPr>
          <w:p w14:paraId="5C3E2820">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755" w:type="pct"/>
            <w:vAlign w:val="center"/>
          </w:tcPr>
          <w:p w14:paraId="2D593ED0">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套</w:t>
            </w:r>
          </w:p>
        </w:tc>
      </w:tr>
      <w:tr w14:paraId="2AB688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1" w:type="pct"/>
            <w:vAlign w:val="center"/>
          </w:tcPr>
          <w:p w14:paraId="02B37CD7">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w:t>
            </w:r>
          </w:p>
        </w:tc>
        <w:tc>
          <w:tcPr>
            <w:tcW w:w="3206" w:type="pct"/>
            <w:vAlign w:val="center"/>
          </w:tcPr>
          <w:p w14:paraId="767E152A">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狂犬病暴露预防接种自助留观系统</w:t>
            </w:r>
          </w:p>
        </w:tc>
        <w:tc>
          <w:tcPr>
            <w:tcW w:w="566" w:type="pct"/>
            <w:vAlign w:val="center"/>
          </w:tcPr>
          <w:p w14:paraId="0CAFAB5C">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755" w:type="pct"/>
            <w:vAlign w:val="center"/>
          </w:tcPr>
          <w:p w14:paraId="75CE7089">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套</w:t>
            </w:r>
          </w:p>
        </w:tc>
      </w:tr>
      <w:tr w14:paraId="2B519F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471" w:type="pct"/>
            <w:vAlign w:val="center"/>
          </w:tcPr>
          <w:p w14:paraId="20905A2D">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w:t>
            </w:r>
          </w:p>
        </w:tc>
        <w:tc>
          <w:tcPr>
            <w:tcW w:w="3206" w:type="pct"/>
            <w:vAlign w:val="center"/>
          </w:tcPr>
          <w:p w14:paraId="2E93C301">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数字化预防接种门诊候诊信息显示系统（大屏）</w:t>
            </w:r>
          </w:p>
        </w:tc>
        <w:tc>
          <w:tcPr>
            <w:tcW w:w="566" w:type="pct"/>
            <w:vAlign w:val="center"/>
          </w:tcPr>
          <w:p w14:paraId="08609344">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755" w:type="pct"/>
            <w:vAlign w:val="center"/>
          </w:tcPr>
          <w:p w14:paraId="2DAD341F">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套</w:t>
            </w:r>
          </w:p>
        </w:tc>
      </w:tr>
    </w:tbl>
    <w:p w14:paraId="5FF4D2DE">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二、技术要求(</w:t>
      </w:r>
      <w:r>
        <w:rPr>
          <w:rFonts w:hint="eastAsia" w:ascii="方正仿宋_GBK" w:hAnsi="方正仿宋_GBK" w:eastAsia="方正仿宋_GBK" w:cs="方正仿宋_GBK"/>
          <w:b/>
          <w:bCs/>
          <w:sz w:val="28"/>
          <w:szCs w:val="28"/>
          <w:u w:val="single"/>
          <w:lang w:val="en-US" w:eastAsia="zh-CN"/>
        </w:rPr>
        <w:t>以下每条参数均应提供佐证材料，否则作为无效响应</w:t>
      </w:r>
      <w:r>
        <w:rPr>
          <w:rFonts w:hint="eastAsia" w:ascii="方正仿宋_GBK" w:hAnsi="方正仿宋_GBK" w:eastAsia="方正仿宋_GBK" w:cs="方正仿宋_GBK"/>
          <w:b/>
          <w:bCs/>
          <w:sz w:val="28"/>
          <w:szCs w:val="28"/>
          <w:lang w:val="en-US" w:eastAsia="zh-CN"/>
        </w:rPr>
        <w:t>)</w:t>
      </w:r>
    </w:p>
    <w:p w14:paraId="2B463FC7">
      <w:pPr>
        <w:numPr>
          <w:ilvl w:val="0"/>
          <w:numId w:val="0"/>
        </w:numPr>
        <w:ind w:firstLine="562" w:firstLineChars="200"/>
        <w:jc w:val="both"/>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1.犬伤电子核签系统</w:t>
      </w:r>
    </w:p>
    <w:p w14:paraId="4D837884">
      <w:pPr>
        <w:pStyle w:val="5"/>
        <w:pageBreakBefore w:val="0"/>
        <w:kinsoku/>
        <w:wordWrap/>
        <w:overflowPunct/>
        <w:topLinePunct w:val="0"/>
        <w:autoSpaceDE/>
        <w:autoSpaceDN/>
        <w:bidi w:val="0"/>
        <w:adjustRightInd/>
        <w:snapToGrid/>
        <w:spacing w:before="0" w:after="0" w:line="240" w:lineRule="auto"/>
        <w:ind w:firstLine="562"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系统功能要求</w:t>
      </w:r>
    </w:p>
    <w:p w14:paraId="1ED11378">
      <w:pPr>
        <w:pageBreakBefore w:val="0"/>
        <w:kinsoku/>
        <w:wordWrap/>
        <w:overflowPunct/>
        <w:topLinePunct w:val="0"/>
        <w:autoSpaceDE/>
        <w:autoSpaceDN/>
        <w:bidi w:val="0"/>
        <w:adjustRightInd/>
        <w:snapToGrid/>
        <w:spacing w:line="240" w:lineRule="auto"/>
        <w:ind w:firstLine="918" w:firstLineChars="328"/>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①</w:t>
      </w:r>
      <w:r>
        <w:rPr>
          <w:rFonts w:hint="eastAsia" w:ascii="方正仿宋_GBK" w:hAnsi="方正仿宋_GBK" w:eastAsia="方正仿宋_GBK" w:cs="方正仿宋_GBK"/>
          <w:sz w:val="28"/>
          <w:szCs w:val="28"/>
        </w:rPr>
        <w:t>用于</w:t>
      </w:r>
      <w:r>
        <w:rPr>
          <w:rFonts w:hint="eastAsia" w:ascii="方正仿宋_GBK" w:hAnsi="方正仿宋_GBK" w:eastAsia="方正仿宋_GBK" w:cs="方正仿宋_GBK"/>
          <w:sz w:val="28"/>
          <w:szCs w:val="28"/>
          <w:lang w:val="en-US" w:eastAsia="zh-CN"/>
        </w:rPr>
        <w:t>狂犬病疫苗</w:t>
      </w:r>
      <w:r>
        <w:rPr>
          <w:rFonts w:hint="eastAsia" w:ascii="方正仿宋_GBK" w:hAnsi="方正仿宋_GBK" w:eastAsia="方正仿宋_GBK" w:cs="方正仿宋_GBK"/>
          <w:sz w:val="28"/>
          <w:szCs w:val="28"/>
        </w:rPr>
        <w:t>接种时对于</w:t>
      </w:r>
      <w:r>
        <w:rPr>
          <w:rFonts w:hint="eastAsia" w:ascii="方正仿宋_GBK" w:hAnsi="方正仿宋_GBK" w:eastAsia="方正仿宋_GBK" w:cs="方正仿宋_GBK"/>
          <w:sz w:val="28"/>
          <w:szCs w:val="28"/>
          <w:lang w:val="en-US" w:eastAsia="zh-CN"/>
        </w:rPr>
        <w:t>狂犬病暴露情况确认和狂犬病</w:t>
      </w:r>
      <w:r>
        <w:rPr>
          <w:rFonts w:hint="eastAsia" w:ascii="方正仿宋_GBK" w:hAnsi="方正仿宋_GBK" w:eastAsia="方正仿宋_GBK" w:cs="方正仿宋_GBK"/>
          <w:sz w:val="28"/>
          <w:szCs w:val="28"/>
        </w:rPr>
        <w:t>知情同意书的确认。同时需包含安卓系统知情同意书的电子核签设备。</w:t>
      </w:r>
    </w:p>
    <w:p w14:paraId="6DB976D3">
      <w:pPr>
        <w:pageBreakBefore w:val="0"/>
        <w:kinsoku/>
        <w:wordWrap/>
        <w:overflowPunct/>
        <w:topLinePunct w:val="0"/>
        <w:autoSpaceDE/>
        <w:autoSpaceDN/>
        <w:bidi w:val="0"/>
        <w:adjustRightInd/>
        <w:snapToGrid/>
        <w:spacing w:line="240" w:lineRule="auto"/>
        <w:ind w:firstLine="918" w:firstLineChars="328"/>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②</w:t>
      </w:r>
      <w:r>
        <w:rPr>
          <w:rFonts w:hint="eastAsia" w:ascii="方正仿宋_GBK" w:hAnsi="方正仿宋_GBK" w:eastAsia="方正仿宋_GBK" w:cs="方正仿宋_GBK"/>
          <w:sz w:val="28"/>
          <w:szCs w:val="28"/>
        </w:rPr>
        <w:t>电子核签设备通过网络连接</w:t>
      </w:r>
      <w:r>
        <w:rPr>
          <w:rFonts w:hint="eastAsia" w:ascii="方正仿宋_GBK" w:hAnsi="方正仿宋_GBK" w:eastAsia="方正仿宋_GBK" w:cs="方正仿宋_GBK"/>
          <w:sz w:val="28"/>
          <w:szCs w:val="28"/>
          <w:lang w:val="en-US" w:eastAsia="zh-CN"/>
        </w:rPr>
        <w:t>庆市狂犬病</w:t>
      </w:r>
      <w:r>
        <w:rPr>
          <w:rFonts w:hint="eastAsia" w:ascii="方正仿宋_GBK" w:hAnsi="方正仿宋_GBK" w:eastAsia="方正仿宋_GBK" w:cs="方正仿宋_GBK"/>
          <w:sz w:val="28"/>
          <w:szCs w:val="28"/>
        </w:rPr>
        <w:t>防接种管理系统。登记医生在客户端系统中登记</w:t>
      </w:r>
      <w:r>
        <w:rPr>
          <w:rFonts w:hint="eastAsia" w:ascii="方正仿宋_GBK" w:hAnsi="方正仿宋_GBK" w:eastAsia="方正仿宋_GBK" w:cs="方正仿宋_GBK"/>
          <w:sz w:val="28"/>
          <w:szCs w:val="28"/>
          <w:lang w:val="en-US" w:eastAsia="zh-CN"/>
        </w:rPr>
        <w:t>受种者外伤暴露情况</w:t>
      </w:r>
      <w:r>
        <w:rPr>
          <w:rFonts w:hint="eastAsia" w:ascii="方正仿宋_GBK" w:hAnsi="方正仿宋_GBK" w:eastAsia="方正仿宋_GBK" w:cs="方正仿宋_GBK"/>
          <w:sz w:val="28"/>
          <w:szCs w:val="28"/>
        </w:rPr>
        <w:t>，同时调取对应疫苗的知情同意书。此时，</w:t>
      </w:r>
      <w:r>
        <w:rPr>
          <w:rFonts w:hint="eastAsia" w:ascii="方正仿宋_GBK" w:hAnsi="方正仿宋_GBK" w:eastAsia="方正仿宋_GBK" w:cs="方正仿宋_GBK"/>
          <w:sz w:val="28"/>
          <w:szCs w:val="28"/>
          <w:lang w:val="en-US" w:eastAsia="zh-CN"/>
        </w:rPr>
        <w:t>受种者</w:t>
      </w:r>
      <w:r>
        <w:rPr>
          <w:rFonts w:hint="eastAsia" w:ascii="方正仿宋_GBK" w:hAnsi="方正仿宋_GBK" w:eastAsia="方正仿宋_GBK" w:cs="方正仿宋_GBK"/>
          <w:sz w:val="28"/>
          <w:szCs w:val="28"/>
        </w:rPr>
        <w:t>可在电子核签设备屏幕上看到</w:t>
      </w:r>
      <w:r>
        <w:rPr>
          <w:rFonts w:hint="eastAsia" w:ascii="方正仿宋_GBK" w:hAnsi="方正仿宋_GBK" w:eastAsia="方正仿宋_GBK" w:cs="方正仿宋_GBK"/>
          <w:sz w:val="28"/>
          <w:szCs w:val="28"/>
          <w:lang w:val="en-US" w:eastAsia="zh-CN"/>
        </w:rPr>
        <w:t>狂犬病暴露情况，接种疫苗类型和接种程序</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同时</w:t>
      </w:r>
      <w:r>
        <w:rPr>
          <w:rFonts w:hint="eastAsia" w:ascii="方正仿宋_GBK" w:hAnsi="方正仿宋_GBK" w:eastAsia="方正仿宋_GBK" w:cs="方正仿宋_GBK"/>
          <w:sz w:val="28"/>
          <w:szCs w:val="28"/>
        </w:rPr>
        <w:t>可查看</w:t>
      </w:r>
      <w:r>
        <w:rPr>
          <w:rFonts w:hint="eastAsia" w:ascii="方正仿宋_GBK" w:hAnsi="方正仿宋_GBK" w:eastAsia="方正仿宋_GBK" w:cs="方正仿宋_GBK"/>
          <w:sz w:val="28"/>
          <w:szCs w:val="28"/>
          <w:lang w:val="en-US" w:eastAsia="zh-CN"/>
        </w:rPr>
        <w:t>狂犬病疫苗接种</w:t>
      </w:r>
      <w:r>
        <w:rPr>
          <w:rFonts w:hint="eastAsia" w:ascii="方正仿宋_GBK" w:hAnsi="方正仿宋_GBK" w:eastAsia="方正仿宋_GBK" w:cs="方正仿宋_GBK"/>
          <w:sz w:val="28"/>
          <w:szCs w:val="28"/>
        </w:rPr>
        <w:t>知情同意书内容。知情同意书内容为</w:t>
      </w:r>
      <w:r>
        <w:rPr>
          <w:rFonts w:hint="eastAsia" w:ascii="方正仿宋_GBK" w:hAnsi="方正仿宋_GBK" w:eastAsia="方正仿宋_GBK" w:cs="方正仿宋_GBK"/>
          <w:sz w:val="28"/>
          <w:szCs w:val="28"/>
          <w:lang w:val="en-US" w:eastAsia="zh-CN"/>
        </w:rPr>
        <w:t>重庆市</w:t>
      </w:r>
      <w:r>
        <w:rPr>
          <w:rFonts w:hint="eastAsia" w:ascii="方正仿宋_GBK" w:hAnsi="方正仿宋_GBK" w:eastAsia="方正仿宋_GBK" w:cs="方正仿宋_GBK"/>
          <w:sz w:val="28"/>
          <w:szCs w:val="28"/>
        </w:rPr>
        <w:t>统一模板。</w:t>
      </w:r>
      <w:r>
        <w:rPr>
          <w:rFonts w:hint="eastAsia" w:ascii="方正仿宋_GBK" w:hAnsi="方正仿宋_GBK" w:eastAsia="方正仿宋_GBK" w:cs="方正仿宋_GBK"/>
          <w:sz w:val="28"/>
          <w:szCs w:val="28"/>
          <w:lang w:val="en-US" w:eastAsia="zh-CN"/>
        </w:rPr>
        <w:t>受种者</w:t>
      </w:r>
      <w:r>
        <w:rPr>
          <w:rFonts w:hint="eastAsia" w:ascii="方正仿宋_GBK" w:hAnsi="方正仿宋_GBK" w:eastAsia="方正仿宋_GBK" w:cs="方正仿宋_GBK"/>
          <w:sz w:val="28"/>
          <w:szCs w:val="28"/>
        </w:rPr>
        <w:t>可通过签字方式完成确认。签字与知情告知书内容同时存档，并自动保存到系统中。</w:t>
      </w:r>
    </w:p>
    <w:p w14:paraId="02639B87">
      <w:pPr>
        <w:pStyle w:val="5"/>
        <w:pageBreakBefore w:val="0"/>
        <w:kinsoku/>
        <w:wordWrap/>
        <w:overflowPunct/>
        <w:topLinePunct w:val="0"/>
        <w:autoSpaceDE/>
        <w:autoSpaceDN/>
        <w:bidi w:val="0"/>
        <w:adjustRightInd/>
        <w:snapToGrid/>
        <w:spacing w:before="0" w:after="0" w:line="240" w:lineRule="auto"/>
        <w:ind w:firstLine="562"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配套专用终端要求</w:t>
      </w:r>
    </w:p>
    <w:tbl>
      <w:tblPr>
        <w:tblStyle w:val="14"/>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19"/>
        <w:gridCol w:w="1594"/>
        <w:gridCol w:w="7148"/>
      </w:tblGrid>
      <w:tr w14:paraId="71A9A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2" w:hRule="atLeast"/>
        </w:trPr>
        <w:tc>
          <w:tcPr>
            <w:tcW w:w="1019" w:type="dxa"/>
            <w:shd w:val="clear" w:color="auto" w:fill="auto"/>
            <w:noWrap/>
            <w:vAlign w:val="center"/>
          </w:tcPr>
          <w:p w14:paraId="12D0AA9D">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b/>
                <w:bCs w:val="0"/>
                <w:sz w:val="28"/>
                <w:szCs w:val="28"/>
                <w:lang w:val="en-US" w:eastAsia="zh-CN"/>
              </w:rPr>
            </w:pPr>
            <w:r>
              <w:rPr>
                <w:rFonts w:hint="eastAsia" w:ascii="方正仿宋_GBK" w:hAnsi="方正仿宋_GBK" w:eastAsia="方正仿宋_GBK" w:cs="方正仿宋_GBK"/>
                <w:b/>
                <w:bCs w:val="0"/>
                <w:sz w:val="28"/>
                <w:szCs w:val="28"/>
                <w:lang w:val="en-US" w:eastAsia="zh-CN"/>
              </w:rPr>
              <w:t>序号</w:t>
            </w:r>
          </w:p>
        </w:tc>
        <w:tc>
          <w:tcPr>
            <w:tcW w:w="1594" w:type="dxa"/>
            <w:shd w:val="clear" w:color="auto" w:fill="auto"/>
            <w:noWrap/>
            <w:vAlign w:val="center"/>
          </w:tcPr>
          <w:p w14:paraId="3D833465">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b/>
                <w:bCs w:val="0"/>
                <w:sz w:val="28"/>
                <w:szCs w:val="28"/>
                <w:lang w:val="en-US" w:eastAsia="zh-CN"/>
              </w:rPr>
            </w:pPr>
            <w:r>
              <w:rPr>
                <w:rFonts w:hint="eastAsia" w:ascii="方正仿宋_GBK" w:hAnsi="方正仿宋_GBK" w:eastAsia="方正仿宋_GBK" w:cs="方正仿宋_GBK"/>
                <w:b/>
                <w:bCs w:val="0"/>
                <w:sz w:val="28"/>
                <w:szCs w:val="28"/>
                <w:lang w:val="en-US" w:eastAsia="zh-CN"/>
              </w:rPr>
              <w:t>模块名称</w:t>
            </w:r>
          </w:p>
        </w:tc>
        <w:tc>
          <w:tcPr>
            <w:tcW w:w="7148" w:type="dxa"/>
            <w:shd w:val="clear" w:color="auto" w:fill="auto"/>
            <w:noWrap/>
            <w:vAlign w:val="center"/>
          </w:tcPr>
          <w:p w14:paraId="12254244">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b/>
                <w:bCs w:val="0"/>
                <w:sz w:val="28"/>
                <w:szCs w:val="28"/>
                <w:lang w:val="en-US" w:eastAsia="zh-CN"/>
              </w:rPr>
            </w:pPr>
            <w:r>
              <w:rPr>
                <w:rFonts w:hint="eastAsia" w:ascii="方正仿宋_GBK" w:hAnsi="方正仿宋_GBK" w:eastAsia="方正仿宋_GBK" w:cs="方正仿宋_GBK"/>
                <w:b/>
                <w:bCs w:val="0"/>
                <w:sz w:val="28"/>
                <w:szCs w:val="28"/>
                <w:lang w:val="en-US" w:eastAsia="zh-CN"/>
              </w:rPr>
              <w:t>参数配置</w:t>
            </w:r>
          </w:p>
        </w:tc>
      </w:tr>
      <w:tr w14:paraId="2DF16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2" w:hRule="atLeast"/>
        </w:trPr>
        <w:tc>
          <w:tcPr>
            <w:tcW w:w="1019" w:type="dxa"/>
            <w:shd w:val="clear" w:color="auto" w:fill="auto"/>
            <w:noWrap/>
            <w:vAlign w:val="center"/>
          </w:tcPr>
          <w:p w14:paraId="28FE7C46">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1</w:t>
            </w:r>
          </w:p>
        </w:tc>
        <w:tc>
          <w:tcPr>
            <w:tcW w:w="1594" w:type="dxa"/>
            <w:shd w:val="clear" w:color="auto" w:fill="auto"/>
            <w:noWrap/>
            <w:vAlign w:val="center"/>
          </w:tcPr>
          <w:p w14:paraId="54430056">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CPU</w:t>
            </w:r>
          </w:p>
        </w:tc>
        <w:tc>
          <w:tcPr>
            <w:tcW w:w="7148" w:type="dxa"/>
            <w:shd w:val="clear" w:color="auto" w:fill="auto"/>
            <w:noWrap/>
            <w:vAlign w:val="center"/>
          </w:tcPr>
          <w:p w14:paraId="0F31B902">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≥4核 1.0GHZ</w:t>
            </w:r>
          </w:p>
        </w:tc>
      </w:tr>
      <w:tr w14:paraId="2E31A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2" w:hRule="atLeast"/>
        </w:trPr>
        <w:tc>
          <w:tcPr>
            <w:tcW w:w="1019" w:type="dxa"/>
            <w:shd w:val="clear" w:color="auto" w:fill="auto"/>
            <w:noWrap/>
            <w:vAlign w:val="center"/>
          </w:tcPr>
          <w:p w14:paraId="7E2D7592">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2</w:t>
            </w:r>
          </w:p>
        </w:tc>
        <w:tc>
          <w:tcPr>
            <w:tcW w:w="1594" w:type="dxa"/>
            <w:shd w:val="clear" w:color="auto" w:fill="auto"/>
            <w:noWrap/>
            <w:vAlign w:val="center"/>
          </w:tcPr>
          <w:p w14:paraId="6C15C9F3">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内存/存储</w:t>
            </w:r>
          </w:p>
        </w:tc>
        <w:tc>
          <w:tcPr>
            <w:tcW w:w="7148" w:type="dxa"/>
            <w:shd w:val="clear" w:color="auto" w:fill="auto"/>
            <w:noWrap/>
            <w:vAlign w:val="center"/>
          </w:tcPr>
          <w:p w14:paraId="5D23860A">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≥2G/8G</w:t>
            </w:r>
          </w:p>
        </w:tc>
      </w:tr>
      <w:tr w14:paraId="0A8F2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2" w:hRule="atLeast"/>
        </w:trPr>
        <w:tc>
          <w:tcPr>
            <w:tcW w:w="1019" w:type="dxa"/>
            <w:shd w:val="clear" w:color="auto" w:fill="auto"/>
            <w:noWrap/>
            <w:vAlign w:val="center"/>
          </w:tcPr>
          <w:p w14:paraId="25C62696">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3</w:t>
            </w:r>
          </w:p>
        </w:tc>
        <w:tc>
          <w:tcPr>
            <w:tcW w:w="1594" w:type="dxa"/>
            <w:shd w:val="clear" w:color="auto" w:fill="auto"/>
            <w:noWrap/>
            <w:vAlign w:val="center"/>
          </w:tcPr>
          <w:p w14:paraId="1FAD513C">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显示屏幕</w:t>
            </w:r>
          </w:p>
        </w:tc>
        <w:tc>
          <w:tcPr>
            <w:tcW w:w="7148" w:type="dxa"/>
            <w:shd w:val="clear" w:color="auto" w:fill="auto"/>
            <w:vAlign w:val="center"/>
          </w:tcPr>
          <w:p w14:paraId="544ED73B">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液晶显示屏，10.1寸屏，分辨率支持1280*800，亮度≥200cd/m²</w:t>
            </w:r>
          </w:p>
        </w:tc>
      </w:tr>
      <w:tr w14:paraId="71AAC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2" w:hRule="atLeast"/>
        </w:trPr>
        <w:tc>
          <w:tcPr>
            <w:tcW w:w="1019" w:type="dxa"/>
            <w:shd w:val="clear" w:color="auto" w:fill="auto"/>
            <w:noWrap/>
            <w:vAlign w:val="center"/>
          </w:tcPr>
          <w:p w14:paraId="5C141B23">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4</w:t>
            </w:r>
          </w:p>
        </w:tc>
        <w:tc>
          <w:tcPr>
            <w:tcW w:w="1594" w:type="dxa"/>
            <w:shd w:val="clear" w:color="auto" w:fill="auto"/>
            <w:noWrap/>
            <w:vAlign w:val="center"/>
          </w:tcPr>
          <w:p w14:paraId="1BB4389B">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触摸屏</w:t>
            </w:r>
          </w:p>
        </w:tc>
        <w:tc>
          <w:tcPr>
            <w:tcW w:w="7148" w:type="dxa"/>
            <w:shd w:val="clear" w:color="auto" w:fill="auto"/>
            <w:noWrap/>
            <w:vAlign w:val="center"/>
          </w:tcPr>
          <w:p w14:paraId="098E2C5A">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触摸屏幕，支持多点</w:t>
            </w:r>
          </w:p>
        </w:tc>
      </w:tr>
      <w:tr w14:paraId="15390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2" w:hRule="atLeast"/>
        </w:trPr>
        <w:tc>
          <w:tcPr>
            <w:tcW w:w="1019" w:type="dxa"/>
            <w:shd w:val="clear" w:color="auto" w:fill="auto"/>
            <w:noWrap/>
            <w:vAlign w:val="center"/>
          </w:tcPr>
          <w:p w14:paraId="1CF29CC8">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5</w:t>
            </w:r>
          </w:p>
        </w:tc>
        <w:tc>
          <w:tcPr>
            <w:tcW w:w="1594" w:type="dxa"/>
            <w:shd w:val="clear" w:color="auto" w:fill="auto"/>
            <w:noWrap/>
            <w:vAlign w:val="center"/>
          </w:tcPr>
          <w:p w14:paraId="76C0E6E1">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外设</w:t>
            </w:r>
          </w:p>
        </w:tc>
        <w:tc>
          <w:tcPr>
            <w:tcW w:w="7148" w:type="dxa"/>
            <w:shd w:val="clear" w:color="auto" w:fill="auto"/>
            <w:noWrap/>
            <w:vAlign w:val="center"/>
          </w:tcPr>
          <w:p w14:paraId="060C2DDC">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配置200万以上摄像头，指纹仪和喇叭</w:t>
            </w:r>
          </w:p>
        </w:tc>
      </w:tr>
      <w:tr w14:paraId="02712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2" w:hRule="atLeast"/>
        </w:trPr>
        <w:tc>
          <w:tcPr>
            <w:tcW w:w="1019" w:type="dxa"/>
            <w:shd w:val="clear" w:color="auto" w:fill="auto"/>
            <w:noWrap/>
            <w:vAlign w:val="center"/>
          </w:tcPr>
          <w:p w14:paraId="484F84CD">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6</w:t>
            </w:r>
          </w:p>
        </w:tc>
        <w:tc>
          <w:tcPr>
            <w:tcW w:w="1594" w:type="dxa"/>
            <w:shd w:val="clear" w:color="auto" w:fill="auto"/>
            <w:noWrap/>
            <w:vAlign w:val="center"/>
          </w:tcPr>
          <w:p w14:paraId="1C03D075">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网络</w:t>
            </w:r>
          </w:p>
        </w:tc>
        <w:tc>
          <w:tcPr>
            <w:tcW w:w="7148" w:type="dxa"/>
            <w:shd w:val="clear" w:color="auto" w:fill="auto"/>
            <w:noWrap/>
            <w:vAlign w:val="center"/>
          </w:tcPr>
          <w:p w14:paraId="2DEEF508">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支持RJ45、Wi-Fi数据交互通信</w:t>
            </w:r>
          </w:p>
        </w:tc>
      </w:tr>
      <w:tr w14:paraId="1A9AE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2" w:hRule="atLeast"/>
        </w:trPr>
        <w:tc>
          <w:tcPr>
            <w:tcW w:w="1019" w:type="dxa"/>
            <w:shd w:val="clear" w:color="auto" w:fill="auto"/>
            <w:noWrap/>
            <w:vAlign w:val="center"/>
          </w:tcPr>
          <w:p w14:paraId="19A8E94F">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7</w:t>
            </w:r>
          </w:p>
        </w:tc>
        <w:tc>
          <w:tcPr>
            <w:tcW w:w="1594" w:type="dxa"/>
            <w:shd w:val="clear" w:color="auto" w:fill="auto"/>
            <w:noWrap/>
            <w:vAlign w:val="center"/>
          </w:tcPr>
          <w:p w14:paraId="4B8995AA">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外观</w:t>
            </w:r>
          </w:p>
        </w:tc>
        <w:tc>
          <w:tcPr>
            <w:tcW w:w="7148" w:type="dxa"/>
            <w:shd w:val="clear" w:color="auto" w:fill="auto"/>
            <w:noWrap/>
            <w:vAlign w:val="center"/>
          </w:tcPr>
          <w:p w14:paraId="1E12510B">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产品尺寸符合，易于摆放，屏幕有倾斜角度，便于观看</w:t>
            </w:r>
          </w:p>
        </w:tc>
      </w:tr>
    </w:tbl>
    <w:p w14:paraId="5DAB7B6F">
      <w:pPr>
        <w:pageBreakBefore w:val="0"/>
        <w:widowControl w:val="0"/>
        <w:numPr>
          <w:ilvl w:val="0"/>
          <w:numId w:val="0"/>
        </w:numPr>
        <w:kinsoku/>
        <w:wordWrap/>
        <w:overflowPunct/>
        <w:topLinePunct w:val="0"/>
        <w:autoSpaceDE/>
        <w:autoSpaceDN/>
        <w:bidi w:val="0"/>
        <w:adjustRightInd/>
        <w:snapToGrid/>
        <w:spacing w:line="240" w:lineRule="auto"/>
        <w:ind w:leftChars="0" w:firstLine="562" w:firstLineChars="200"/>
        <w:textAlignment w:val="auto"/>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2.犬伤接种告知系统</w:t>
      </w:r>
    </w:p>
    <w:p w14:paraId="751D9BE4">
      <w:pPr>
        <w:pStyle w:val="5"/>
        <w:pageBreakBefore w:val="0"/>
        <w:widowControl w:val="0"/>
        <w:kinsoku/>
        <w:wordWrap/>
        <w:overflowPunct/>
        <w:topLinePunct w:val="0"/>
        <w:autoSpaceDE/>
        <w:autoSpaceDN/>
        <w:bidi w:val="0"/>
        <w:adjustRightInd/>
        <w:snapToGrid/>
        <w:spacing w:before="0" w:after="0" w:line="240" w:lineRule="auto"/>
        <w:ind w:firstLine="562"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系统功能要求</w:t>
      </w:r>
    </w:p>
    <w:p w14:paraId="01A40A64">
      <w:pPr>
        <w:pageBreakBefore w:val="0"/>
        <w:widowControl w:val="0"/>
        <w:kinsoku/>
        <w:wordWrap/>
        <w:overflowPunct/>
        <w:topLinePunct w:val="0"/>
        <w:autoSpaceDE/>
        <w:autoSpaceDN/>
        <w:bidi w:val="0"/>
        <w:adjustRightInd/>
        <w:snapToGrid/>
        <w:spacing w:line="240" w:lineRule="auto"/>
        <w:ind w:firstLine="48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①</w:t>
      </w:r>
      <w:r>
        <w:rPr>
          <w:rFonts w:hint="eastAsia" w:ascii="方正仿宋_GBK" w:hAnsi="方正仿宋_GBK" w:eastAsia="方正仿宋_GBK" w:cs="方正仿宋_GBK"/>
          <w:sz w:val="28"/>
          <w:szCs w:val="28"/>
          <w:lang w:val="en-US" w:eastAsia="zh-CN"/>
        </w:rPr>
        <w:t>用于狂犬病接种时的受种者电子验证环节</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同时需包含安卓系统专用告知终端设备。</w:t>
      </w:r>
    </w:p>
    <w:p w14:paraId="5838E8A6">
      <w:pPr>
        <w:pageBreakBefore w:val="0"/>
        <w:kinsoku/>
        <w:wordWrap/>
        <w:overflowPunct/>
        <w:topLinePunct w:val="0"/>
        <w:autoSpaceDE/>
        <w:autoSpaceDN/>
        <w:bidi w:val="0"/>
        <w:adjustRightInd/>
        <w:snapToGrid/>
        <w:spacing w:line="240" w:lineRule="auto"/>
        <w:ind w:left="0" w:leftChars="0"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②系统支持通过网络连接</w:t>
      </w:r>
      <w:r>
        <w:rPr>
          <w:rFonts w:hint="eastAsia" w:ascii="方正仿宋_GBK" w:hAnsi="方正仿宋_GBK" w:eastAsia="方正仿宋_GBK" w:cs="方正仿宋_GBK"/>
          <w:sz w:val="28"/>
          <w:szCs w:val="28"/>
          <w:lang w:val="en-US" w:eastAsia="zh-CN"/>
        </w:rPr>
        <w:t>重庆市狂犬病</w:t>
      </w:r>
      <w:r>
        <w:rPr>
          <w:rFonts w:hint="eastAsia" w:ascii="方正仿宋_GBK" w:hAnsi="方正仿宋_GBK" w:eastAsia="方正仿宋_GBK" w:cs="方正仿宋_GBK"/>
          <w:sz w:val="28"/>
          <w:szCs w:val="28"/>
        </w:rPr>
        <w:t>防接种管理系统</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在接种前，接种医生扫描疫苗药监码后，在终端设备上可显示出该疫苗的疫苗名称、厂家、批号、效期等信息，同时可自动与登记台医生在预防接种信息系统中登记的当天待接种疫苗信息进行核对，由</w:t>
      </w:r>
      <w:r>
        <w:rPr>
          <w:rFonts w:hint="eastAsia" w:ascii="方正仿宋_GBK" w:hAnsi="方正仿宋_GBK" w:eastAsia="方正仿宋_GBK" w:cs="方正仿宋_GBK"/>
          <w:sz w:val="28"/>
          <w:szCs w:val="28"/>
          <w:lang w:val="en-US" w:eastAsia="zh-CN"/>
        </w:rPr>
        <w:t>受种者</w:t>
      </w:r>
      <w:r>
        <w:rPr>
          <w:rFonts w:hint="eastAsia" w:ascii="方正仿宋_GBK" w:hAnsi="方正仿宋_GBK" w:eastAsia="方正仿宋_GBK" w:cs="方正仿宋_GBK"/>
          <w:sz w:val="28"/>
          <w:szCs w:val="28"/>
        </w:rPr>
        <w:t>进行确认和</w:t>
      </w:r>
      <w:r>
        <w:rPr>
          <w:rFonts w:hint="eastAsia" w:ascii="方正仿宋_GBK" w:hAnsi="方正仿宋_GBK" w:eastAsia="方正仿宋_GBK" w:cs="方正仿宋_GBK"/>
          <w:sz w:val="28"/>
          <w:szCs w:val="28"/>
          <w:lang w:val="en-US" w:eastAsia="zh-CN"/>
        </w:rPr>
        <w:t>签字</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受种者签字</w:t>
      </w:r>
      <w:r>
        <w:rPr>
          <w:rFonts w:hint="eastAsia" w:ascii="方正仿宋_GBK" w:hAnsi="方正仿宋_GBK" w:eastAsia="方正仿宋_GBK" w:cs="方正仿宋_GBK"/>
          <w:sz w:val="28"/>
          <w:szCs w:val="28"/>
        </w:rPr>
        <w:t>和疫苗信息同时存档，并自动保存到系统中。</w:t>
      </w:r>
    </w:p>
    <w:p w14:paraId="3987734C">
      <w:pPr>
        <w:pStyle w:val="5"/>
        <w:pageBreakBefore w:val="0"/>
        <w:kinsoku/>
        <w:wordWrap/>
        <w:overflowPunct/>
        <w:topLinePunct w:val="0"/>
        <w:autoSpaceDE/>
        <w:autoSpaceDN/>
        <w:bidi w:val="0"/>
        <w:adjustRightInd/>
        <w:snapToGrid/>
        <w:spacing w:before="0" w:after="0" w:line="240" w:lineRule="auto"/>
        <w:ind w:firstLine="562"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配套专用终端要求</w:t>
      </w:r>
    </w:p>
    <w:tbl>
      <w:tblPr>
        <w:tblStyle w:val="14"/>
        <w:tblW w:w="0" w:type="auto"/>
        <w:tblInd w:w="3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79"/>
        <w:gridCol w:w="1680"/>
        <w:gridCol w:w="7036"/>
      </w:tblGrid>
      <w:tr w14:paraId="5BCD7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779" w:type="dxa"/>
            <w:shd w:val="clear" w:color="auto" w:fill="auto"/>
            <w:noWrap/>
            <w:vAlign w:val="center"/>
          </w:tcPr>
          <w:p w14:paraId="4CDC94E0">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b/>
                <w:bCs w:val="0"/>
                <w:sz w:val="28"/>
                <w:szCs w:val="28"/>
                <w:lang w:val="en-US" w:eastAsia="zh-CN"/>
              </w:rPr>
            </w:pPr>
            <w:r>
              <w:rPr>
                <w:rFonts w:hint="eastAsia" w:ascii="方正仿宋_GBK" w:hAnsi="方正仿宋_GBK" w:eastAsia="方正仿宋_GBK" w:cs="方正仿宋_GBK"/>
                <w:b/>
                <w:bCs w:val="0"/>
                <w:sz w:val="28"/>
                <w:szCs w:val="28"/>
                <w:lang w:val="en-US" w:eastAsia="zh-CN"/>
              </w:rPr>
              <w:t>序号</w:t>
            </w:r>
          </w:p>
        </w:tc>
        <w:tc>
          <w:tcPr>
            <w:tcW w:w="1680" w:type="dxa"/>
            <w:shd w:val="clear" w:color="auto" w:fill="auto"/>
            <w:noWrap/>
            <w:vAlign w:val="center"/>
          </w:tcPr>
          <w:p w14:paraId="0826F3D0">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b/>
                <w:bCs w:val="0"/>
                <w:sz w:val="28"/>
                <w:szCs w:val="28"/>
                <w:lang w:val="en-US" w:eastAsia="zh-CN"/>
              </w:rPr>
            </w:pPr>
            <w:r>
              <w:rPr>
                <w:rFonts w:hint="eastAsia" w:ascii="方正仿宋_GBK" w:hAnsi="方正仿宋_GBK" w:eastAsia="方正仿宋_GBK" w:cs="方正仿宋_GBK"/>
                <w:b/>
                <w:bCs w:val="0"/>
                <w:sz w:val="28"/>
                <w:szCs w:val="28"/>
                <w:lang w:val="en-US" w:eastAsia="zh-CN"/>
              </w:rPr>
              <w:t>模块名称</w:t>
            </w:r>
          </w:p>
        </w:tc>
        <w:tc>
          <w:tcPr>
            <w:tcW w:w="7036" w:type="dxa"/>
            <w:shd w:val="clear" w:color="auto" w:fill="auto"/>
            <w:noWrap/>
            <w:vAlign w:val="center"/>
          </w:tcPr>
          <w:p w14:paraId="0F6ABA22">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b/>
                <w:bCs w:val="0"/>
                <w:sz w:val="28"/>
                <w:szCs w:val="28"/>
                <w:lang w:val="en-US" w:eastAsia="zh-CN"/>
              </w:rPr>
            </w:pPr>
            <w:r>
              <w:rPr>
                <w:rFonts w:hint="eastAsia" w:ascii="方正仿宋_GBK" w:hAnsi="方正仿宋_GBK" w:eastAsia="方正仿宋_GBK" w:cs="方正仿宋_GBK"/>
                <w:b/>
                <w:bCs w:val="0"/>
                <w:sz w:val="28"/>
                <w:szCs w:val="28"/>
                <w:lang w:val="en-US" w:eastAsia="zh-CN"/>
              </w:rPr>
              <w:t>参数配置</w:t>
            </w:r>
          </w:p>
        </w:tc>
      </w:tr>
      <w:tr w14:paraId="4DCFF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79" w:type="dxa"/>
            <w:shd w:val="clear" w:color="auto" w:fill="auto"/>
            <w:noWrap/>
            <w:vAlign w:val="center"/>
          </w:tcPr>
          <w:p w14:paraId="4D64C21D">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1</w:t>
            </w:r>
          </w:p>
        </w:tc>
        <w:tc>
          <w:tcPr>
            <w:tcW w:w="1680" w:type="dxa"/>
            <w:shd w:val="clear" w:color="auto" w:fill="auto"/>
            <w:noWrap/>
            <w:vAlign w:val="center"/>
          </w:tcPr>
          <w:p w14:paraId="02585C31">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CPU</w:t>
            </w:r>
          </w:p>
        </w:tc>
        <w:tc>
          <w:tcPr>
            <w:tcW w:w="7036" w:type="dxa"/>
            <w:shd w:val="clear" w:color="auto" w:fill="auto"/>
            <w:noWrap/>
            <w:vAlign w:val="center"/>
          </w:tcPr>
          <w:p w14:paraId="42677D21">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≥4核 1.0GHZ</w:t>
            </w:r>
          </w:p>
        </w:tc>
      </w:tr>
      <w:tr w14:paraId="6526C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79" w:type="dxa"/>
            <w:shd w:val="clear" w:color="auto" w:fill="auto"/>
            <w:noWrap/>
            <w:vAlign w:val="center"/>
          </w:tcPr>
          <w:p w14:paraId="19D6EF79">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2</w:t>
            </w:r>
          </w:p>
        </w:tc>
        <w:tc>
          <w:tcPr>
            <w:tcW w:w="1680" w:type="dxa"/>
            <w:shd w:val="clear" w:color="auto" w:fill="auto"/>
            <w:noWrap/>
            <w:vAlign w:val="center"/>
          </w:tcPr>
          <w:p w14:paraId="15C1D90E">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内存/存储</w:t>
            </w:r>
          </w:p>
        </w:tc>
        <w:tc>
          <w:tcPr>
            <w:tcW w:w="7036" w:type="dxa"/>
            <w:shd w:val="clear" w:color="auto" w:fill="auto"/>
            <w:noWrap/>
            <w:vAlign w:val="center"/>
          </w:tcPr>
          <w:p w14:paraId="3FFD7D1E">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≥2G/8G</w:t>
            </w:r>
          </w:p>
        </w:tc>
      </w:tr>
      <w:tr w14:paraId="7D265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79" w:type="dxa"/>
            <w:shd w:val="clear" w:color="auto" w:fill="auto"/>
            <w:noWrap/>
            <w:vAlign w:val="center"/>
          </w:tcPr>
          <w:p w14:paraId="2B01EAA5">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3</w:t>
            </w:r>
          </w:p>
        </w:tc>
        <w:tc>
          <w:tcPr>
            <w:tcW w:w="1680" w:type="dxa"/>
            <w:shd w:val="clear" w:color="auto" w:fill="auto"/>
            <w:noWrap/>
            <w:vAlign w:val="center"/>
          </w:tcPr>
          <w:p w14:paraId="4150DC66">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显示屏幕</w:t>
            </w:r>
          </w:p>
        </w:tc>
        <w:tc>
          <w:tcPr>
            <w:tcW w:w="7036" w:type="dxa"/>
            <w:shd w:val="clear" w:color="auto" w:fill="auto"/>
            <w:vAlign w:val="center"/>
          </w:tcPr>
          <w:p w14:paraId="7271E0F0">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液晶显示屏，10.1寸屏，分辨率支持1280*800，亮度≥200cd/m²</w:t>
            </w:r>
          </w:p>
        </w:tc>
      </w:tr>
      <w:tr w14:paraId="75672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79" w:type="dxa"/>
            <w:shd w:val="clear" w:color="auto" w:fill="auto"/>
            <w:noWrap/>
            <w:vAlign w:val="center"/>
          </w:tcPr>
          <w:p w14:paraId="2C485246">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4</w:t>
            </w:r>
          </w:p>
        </w:tc>
        <w:tc>
          <w:tcPr>
            <w:tcW w:w="1680" w:type="dxa"/>
            <w:shd w:val="clear" w:color="auto" w:fill="auto"/>
            <w:noWrap/>
            <w:vAlign w:val="center"/>
          </w:tcPr>
          <w:p w14:paraId="6B73983D">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触摸屏</w:t>
            </w:r>
          </w:p>
        </w:tc>
        <w:tc>
          <w:tcPr>
            <w:tcW w:w="7036" w:type="dxa"/>
            <w:shd w:val="clear" w:color="auto" w:fill="auto"/>
            <w:noWrap/>
            <w:vAlign w:val="center"/>
          </w:tcPr>
          <w:p w14:paraId="70DA3D71">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触摸屏幕，支持多点</w:t>
            </w:r>
          </w:p>
        </w:tc>
      </w:tr>
      <w:tr w14:paraId="7455A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79" w:type="dxa"/>
            <w:shd w:val="clear" w:color="auto" w:fill="auto"/>
            <w:noWrap/>
            <w:vAlign w:val="center"/>
          </w:tcPr>
          <w:p w14:paraId="124BE2ED">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5</w:t>
            </w:r>
          </w:p>
        </w:tc>
        <w:tc>
          <w:tcPr>
            <w:tcW w:w="1680" w:type="dxa"/>
            <w:shd w:val="clear" w:color="auto" w:fill="auto"/>
            <w:noWrap/>
            <w:vAlign w:val="center"/>
          </w:tcPr>
          <w:p w14:paraId="70170B95">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外设</w:t>
            </w:r>
          </w:p>
        </w:tc>
        <w:tc>
          <w:tcPr>
            <w:tcW w:w="7036" w:type="dxa"/>
            <w:shd w:val="clear" w:color="auto" w:fill="auto"/>
            <w:noWrap/>
            <w:vAlign w:val="center"/>
          </w:tcPr>
          <w:p w14:paraId="520C70C0">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配置200万以上摄像头，指纹仪和喇叭</w:t>
            </w:r>
          </w:p>
        </w:tc>
      </w:tr>
      <w:tr w14:paraId="0057F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79" w:type="dxa"/>
            <w:shd w:val="clear" w:color="auto" w:fill="auto"/>
            <w:noWrap/>
            <w:vAlign w:val="center"/>
          </w:tcPr>
          <w:p w14:paraId="78288674">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6</w:t>
            </w:r>
          </w:p>
        </w:tc>
        <w:tc>
          <w:tcPr>
            <w:tcW w:w="1680" w:type="dxa"/>
            <w:shd w:val="clear" w:color="auto" w:fill="auto"/>
            <w:noWrap/>
            <w:vAlign w:val="center"/>
          </w:tcPr>
          <w:p w14:paraId="58A69705">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网络</w:t>
            </w:r>
          </w:p>
        </w:tc>
        <w:tc>
          <w:tcPr>
            <w:tcW w:w="7036" w:type="dxa"/>
            <w:shd w:val="clear" w:color="auto" w:fill="auto"/>
            <w:noWrap/>
            <w:vAlign w:val="center"/>
          </w:tcPr>
          <w:p w14:paraId="2D7662D0">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支持RJ45、Wi-Fi数据交互通信</w:t>
            </w:r>
          </w:p>
        </w:tc>
      </w:tr>
      <w:tr w14:paraId="709AF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79" w:type="dxa"/>
            <w:shd w:val="clear" w:color="auto" w:fill="auto"/>
            <w:noWrap/>
            <w:vAlign w:val="center"/>
          </w:tcPr>
          <w:p w14:paraId="5E37039F">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7</w:t>
            </w:r>
          </w:p>
        </w:tc>
        <w:tc>
          <w:tcPr>
            <w:tcW w:w="1680" w:type="dxa"/>
            <w:shd w:val="clear" w:color="auto" w:fill="auto"/>
            <w:noWrap/>
            <w:vAlign w:val="center"/>
          </w:tcPr>
          <w:p w14:paraId="05D2B3DB">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外观</w:t>
            </w:r>
          </w:p>
        </w:tc>
        <w:tc>
          <w:tcPr>
            <w:tcW w:w="7036" w:type="dxa"/>
            <w:shd w:val="clear" w:color="auto" w:fill="auto"/>
            <w:noWrap/>
            <w:vAlign w:val="center"/>
          </w:tcPr>
          <w:p w14:paraId="573AEC02">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产品尺寸符合，易于摆放，屏幕有倾斜角度，便于观看</w:t>
            </w:r>
          </w:p>
        </w:tc>
      </w:tr>
    </w:tbl>
    <w:p w14:paraId="4EEAA33A">
      <w:pPr>
        <w:numPr>
          <w:ilvl w:val="0"/>
          <w:numId w:val="0"/>
        </w:numPr>
        <w:ind w:leftChars="0" w:firstLine="562" w:firstLineChars="200"/>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3.狂犬病暴露预防接种自助留观系统</w:t>
      </w:r>
    </w:p>
    <w:p w14:paraId="7C332C99">
      <w:pPr>
        <w:pStyle w:val="5"/>
        <w:pageBreakBefore w:val="0"/>
        <w:kinsoku/>
        <w:wordWrap/>
        <w:overflowPunct/>
        <w:topLinePunct w:val="0"/>
        <w:autoSpaceDE/>
        <w:autoSpaceDN/>
        <w:bidi w:val="0"/>
        <w:spacing w:before="20" w:after="20" w:line="240" w:lineRule="auto"/>
        <w:ind w:right="0" w:firstLine="562"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系统功能要求</w:t>
      </w:r>
    </w:p>
    <w:p w14:paraId="4EC5A50E">
      <w:pPr>
        <w:pageBreakBefore w:val="0"/>
        <w:kinsoku/>
        <w:wordWrap/>
        <w:overflowPunct/>
        <w:topLinePunct w:val="0"/>
        <w:autoSpaceDE/>
        <w:autoSpaceDN/>
        <w:bidi w:val="0"/>
        <w:spacing w:before="20" w:after="20" w:line="240" w:lineRule="auto"/>
        <w:ind w:righ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实现狂犬病暴露预防接种门诊（以下简称“犬伤门诊”）受种者自助留观功能，支持与重庆市狂犬病暴露预防接种信息系统实现实时的互联互通。支持受种者通过刷身份证、扫描接种凭证条形码或二维码等相关介质实现自助留观功能，支持展示受种者基本信息、留观到点时间、是否到点等信息。支持记录留观时间，同时支持生成有效的留观评价，如合格、不合格等。</w:t>
      </w:r>
    </w:p>
    <w:p w14:paraId="2AA6C7A8">
      <w:pPr>
        <w:pageBreakBefore w:val="0"/>
        <w:kinsoku/>
        <w:wordWrap/>
        <w:overflowPunct/>
        <w:topLinePunct w:val="0"/>
        <w:autoSpaceDE/>
        <w:autoSpaceDN/>
        <w:bidi w:val="0"/>
        <w:spacing w:before="20" w:after="20" w:line="240" w:lineRule="auto"/>
        <w:ind w:righ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各犬伤门诊查看犬伤门诊预防接种自助留观汇总与明细情况，支持导出功能。支持从接种日期范围、留观状态、疫苗类别等多个维度查看留观情况，同时支持查看单独某个受种者的留观情况。留观汇总情况包含但不限于留观数量、留观率、未留观数、留观合格数、留观不合数等，留观明细情况包含但不限于人员姓名、生日、疫苗名称、剂次、接种日期、留观时间、留观评价等。</w:t>
      </w:r>
    </w:p>
    <w:p w14:paraId="7ADCDA12">
      <w:pPr>
        <w:pageBreakBefore w:val="0"/>
        <w:kinsoku/>
        <w:wordWrap/>
        <w:overflowPunct/>
        <w:topLinePunct w:val="0"/>
        <w:autoSpaceDE/>
        <w:autoSpaceDN/>
        <w:bidi w:val="0"/>
        <w:spacing w:before="20" w:after="20" w:line="240" w:lineRule="auto"/>
        <w:ind w:righ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支持留观大屏显示功能，留观大屏支持显示受种者姓名、留观剩余时间，支持对已留观到点的受种者进行提示等，支持与多媒体视频发布模块协同工作，在等候时可以播放宣教片。</w:t>
      </w:r>
    </w:p>
    <w:p w14:paraId="3717A166">
      <w:pPr>
        <w:pStyle w:val="5"/>
        <w:pageBreakBefore w:val="0"/>
        <w:numPr>
          <w:ilvl w:val="0"/>
          <w:numId w:val="0"/>
        </w:numPr>
        <w:kinsoku/>
        <w:wordWrap/>
        <w:overflowPunct/>
        <w:topLinePunct w:val="0"/>
        <w:autoSpaceDE/>
        <w:autoSpaceDN/>
        <w:bidi w:val="0"/>
        <w:spacing w:before="20" w:after="20" w:line="240" w:lineRule="auto"/>
        <w:ind w:right="0" w:rightChars="0" w:firstLine="562"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配套专用终端要求</w:t>
      </w:r>
    </w:p>
    <w:tbl>
      <w:tblPr>
        <w:tblStyle w:val="14"/>
        <w:tblW w:w="9489" w:type="dxa"/>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7614"/>
      </w:tblGrid>
      <w:tr w14:paraId="7DE44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75" w:type="dxa"/>
            <w:vAlign w:val="center"/>
          </w:tcPr>
          <w:p w14:paraId="67716A34">
            <w:pPr>
              <w:pageBreakBefore w:val="0"/>
              <w:kinsoku/>
              <w:wordWrap/>
              <w:overflowPunct/>
              <w:topLinePunct w:val="0"/>
              <w:autoSpaceDE/>
              <w:autoSpaceDN/>
              <w:bidi w:val="0"/>
              <w:spacing w:before="20" w:after="20" w:line="240" w:lineRule="auto"/>
              <w:ind w:right="0" w:firstLine="0" w:firstLineChars="0"/>
              <w:jc w:val="center"/>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主要构成项</w:t>
            </w:r>
          </w:p>
        </w:tc>
        <w:tc>
          <w:tcPr>
            <w:tcW w:w="7614" w:type="dxa"/>
            <w:vAlign w:val="center"/>
          </w:tcPr>
          <w:p w14:paraId="76A64772">
            <w:pPr>
              <w:pageBreakBefore w:val="0"/>
              <w:kinsoku/>
              <w:wordWrap/>
              <w:overflowPunct/>
              <w:topLinePunct w:val="0"/>
              <w:autoSpaceDE/>
              <w:autoSpaceDN/>
              <w:bidi w:val="0"/>
              <w:spacing w:before="20" w:after="20" w:line="240" w:lineRule="auto"/>
              <w:ind w:right="0" w:firstLine="0" w:firstLineChars="0"/>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主要参数</w:t>
            </w:r>
          </w:p>
        </w:tc>
      </w:tr>
      <w:tr w14:paraId="6C45C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875" w:type="dxa"/>
            <w:vAlign w:val="center"/>
          </w:tcPr>
          <w:p w14:paraId="74F35C8F">
            <w:pPr>
              <w:pageBreakBefore w:val="0"/>
              <w:kinsoku/>
              <w:wordWrap/>
              <w:overflowPunct/>
              <w:topLinePunct w:val="0"/>
              <w:autoSpaceDE/>
              <w:autoSpaceDN/>
              <w:bidi w:val="0"/>
              <w:spacing w:before="20" w:after="20" w:line="240" w:lineRule="auto"/>
              <w:ind w:right="0" w:firstLine="0" w:firstLineChars="0"/>
              <w:jc w:val="center"/>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机柜</w:t>
            </w:r>
          </w:p>
        </w:tc>
        <w:tc>
          <w:tcPr>
            <w:tcW w:w="7614" w:type="dxa"/>
            <w:vAlign w:val="center"/>
          </w:tcPr>
          <w:p w14:paraId="173ADE38">
            <w:pPr>
              <w:pageBreakBefore w:val="0"/>
              <w:kinsoku/>
              <w:wordWrap/>
              <w:overflowPunct/>
              <w:topLinePunct w:val="0"/>
              <w:autoSpaceDE/>
              <w:autoSpaceDN/>
              <w:bidi w:val="0"/>
              <w:spacing w:before="20" w:after="20" w:line="240" w:lineRule="auto"/>
              <w:ind w:right="0" w:firstLine="0" w:firstLineChars="0"/>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整体机柜</w:t>
            </w:r>
            <w:r>
              <w:rPr>
                <w:rFonts w:hint="eastAsia" w:ascii="方正仿宋_GBK" w:hAnsi="方正仿宋_GBK" w:eastAsia="方正仿宋_GBK" w:cs="方正仿宋_GBK"/>
                <w:sz w:val="28"/>
                <w:szCs w:val="28"/>
                <w:lang w:val="en-US" w:eastAsia="zh-CN"/>
              </w:rPr>
              <w:t>外观应符合人体工程需，符合</w:t>
            </w:r>
            <w:r>
              <w:rPr>
                <w:rFonts w:hint="eastAsia" w:ascii="方正仿宋_GBK" w:hAnsi="方正仿宋_GBK" w:eastAsia="方正仿宋_GBK" w:cs="方正仿宋_GBK"/>
                <w:sz w:val="28"/>
                <w:szCs w:val="28"/>
                <w:lang w:val="zh-CN"/>
              </w:rPr>
              <w:t>现场环境进行设计，柜型为立式机柜，显示口</w:t>
            </w:r>
            <w:r>
              <w:rPr>
                <w:rFonts w:hint="eastAsia" w:ascii="方正仿宋_GBK" w:hAnsi="方正仿宋_GBK" w:eastAsia="方正仿宋_GBK" w:cs="方正仿宋_GBK"/>
                <w:sz w:val="28"/>
                <w:szCs w:val="28"/>
                <w:lang w:val="en-US" w:eastAsia="zh-CN"/>
              </w:rPr>
              <w:t>≥19寸</w:t>
            </w:r>
            <w:r>
              <w:rPr>
                <w:rFonts w:hint="eastAsia" w:ascii="方正仿宋_GBK" w:hAnsi="方正仿宋_GBK" w:eastAsia="方正仿宋_GBK" w:cs="方正仿宋_GBK"/>
                <w:sz w:val="28"/>
                <w:szCs w:val="28"/>
                <w:lang w:val="zh-CN"/>
              </w:rPr>
              <w:t>；机柜内部线路板接口要求：</w:t>
            </w:r>
            <w:r>
              <w:rPr>
                <w:rFonts w:hint="eastAsia" w:ascii="方正仿宋_GBK" w:hAnsi="方正仿宋_GBK" w:eastAsia="方正仿宋_GBK" w:cs="方正仿宋_GBK"/>
                <w:sz w:val="28"/>
                <w:szCs w:val="28"/>
                <w:lang w:val="en-US" w:eastAsia="zh-CN"/>
              </w:rPr>
              <w:t>网络接口≥1个、USB接口≥1个，</w:t>
            </w:r>
            <w:r>
              <w:rPr>
                <w:rFonts w:hint="eastAsia" w:ascii="方正仿宋_GBK" w:hAnsi="方正仿宋_GBK" w:eastAsia="方正仿宋_GBK" w:cs="方正仿宋_GBK"/>
                <w:sz w:val="28"/>
                <w:szCs w:val="28"/>
                <w:lang w:val="zh-CN"/>
              </w:rPr>
              <w:t>VGA和HDMI双显示接口</w:t>
            </w:r>
            <w:r>
              <w:rPr>
                <w:rFonts w:hint="eastAsia" w:ascii="方正仿宋_GBK" w:hAnsi="方正仿宋_GBK" w:eastAsia="方正仿宋_GBK" w:cs="方正仿宋_GBK"/>
                <w:sz w:val="28"/>
                <w:szCs w:val="28"/>
                <w:lang w:val="en-US" w:eastAsia="zh-CN"/>
              </w:rPr>
              <w:t>,配置喇叭，设备启动按钮及电源开关。</w:t>
            </w:r>
          </w:p>
        </w:tc>
      </w:tr>
      <w:tr w14:paraId="0A2D0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75" w:type="dxa"/>
            <w:vAlign w:val="center"/>
          </w:tcPr>
          <w:p w14:paraId="12E4FFD1">
            <w:pPr>
              <w:pageBreakBefore w:val="0"/>
              <w:kinsoku/>
              <w:wordWrap/>
              <w:overflowPunct/>
              <w:topLinePunct w:val="0"/>
              <w:autoSpaceDE/>
              <w:autoSpaceDN/>
              <w:bidi w:val="0"/>
              <w:spacing w:before="20" w:after="20" w:line="240" w:lineRule="auto"/>
              <w:ind w:right="0" w:firstLine="0" w:firstLineChars="0"/>
              <w:jc w:val="center"/>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显示设备</w:t>
            </w:r>
          </w:p>
        </w:tc>
        <w:tc>
          <w:tcPr>
            <w:tcW w:w="7614" w:type="dxa"/>
            <w:vAlign w:val="center"/>
          </w:tcPr>
          <w:p w14:paraId="0244E0DB">
            <w:pPr>
              <w:pageBreakBefore w:val="0"/>
              <w:kinsoku/>
              <w:wordWrap/>
              <w:overflowPunct/>
              <w:topLinePunct w:val="0"/>
              <w:autoSpaceDE/>
              <w:autoSpaceDN/>
              <w:bidi w:val="0"/>
              <w:spacing w:before="20" w:after="20" w:line="240" w:lineRule="auto"/>
              <w:ind w:right="0" w:firstLine="0" w:firstLineChars="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≥19寸</w:t>
            </w:r>
            <w:r>
              <w:rPr>
                <w:rFonts w:hint="eastAsia" w:ascii="方正仿宋_GBK" w:hAnsi="方正仿宋_GBK" w:eastAsia="方正仿宋_GBK" w:cs="方正仿宋_GBK"/>
                <w:sz w:val="28"/>
                <w:szCs w:val="28"/>
                <w:lang w:val="zh-CN"/>
              </w:rPr>
              <w:t>高清液晶显示器，输入输出接口类型 VGA或HDMI，</w:t>
            </w:r>
            <w:r>
              <w:rPr>
                <w:rFonts w:hint="eastAsia" w:ascii="方正仿宋_GBK" w:hAnsi="方正仿宋_GBK" w:eastAsia="方正仿宋_GBK" w:cs="方正仿宋_GBK"/>
                <w:sz w:val="28"/>
                <w:szCs w:val="28"/>
                <w:lang w:val="en-US" w:eastAsia="zh-CN"/>
              </w:rPr>
              <w:t>支持电容触摸。</w:t>
            </w:r>
          </w:p>
        </w:tc>
      </w:tr>
      <w:tr w14:paraId="059C5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75" w:type="dxa"/>
            <w:vAlign w:val="center"/>
          </w:tcPr>
          <w:p w14:paraId="221B08BB">
            <w:pPr>
              <w:pageBreakBefore w:val="0"/>
              <w:kinsoku/>
              <w:wordWrap/>
              <w:overflowPunct/>
              <w:topLinePunct w:val="0"/>
              <w:autoSpaceDE/>
              <w:autoSpaceDN/>
              <w:bidi w:val="0"/>
              <w:spacing w:before="20" w:after="20" w:line="240" w:lineRule="auto"/>
              <w:ind w:right="0" w:firstLine="0" w:firstLineChars="0"/>
              <w:jc w:val="center"/>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打印机</w:t>
            </w:r>
          </w:p>
        </w:tc>
        <w:tc>
          <w:tcPr>
            <w:tcW w:w="7614" w:type="dxa"/>
            <w:vAlign w:val="center"/>
          </w:tcPr>
          <w:p w14:paraId="30BF1E8E">
            <w:pPr>
              <w:pageBreakBefore w:val="0"/>
              <w:kinsoku/>
              <w:wordWrap/>
              <w:overflowPunct/>
              <w:topLinePunct w:val="0"/>
              <w:autoSpaceDE/>
              <w:autoSpaceDN/>
              <w:bidi w:val="0"/>
              <w:spacing w:before="20" w:after="20" w:line="240" w:lineRule="auto"/>
              <w:ind w:right="0" w:firstLine="0" w:firstLineChars="0"/>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en-US" w:eastAsia="zh-CN"/>
              </w:rPr>
              <w:t>配置热敏打印机</w:t>
            </w:r>
            <w:r>
              <w:rPr>
                <w:rFonts w:hint="eastAsia" w:ascii="方正仿宋_GBK" w:hAnsi="方正仿宋_GBK" w:eastAsia="方正仿宋_GBK" w:cs="方正仿宋_GBK"/>
                <w:sz w:val="28"/>
                <w:szCs w:val="28"/>
                <w:lang w:val="zh-CN"/>
              </w:rPr>
              <w:t xml:space="preserve">，进纸方式：弯曲式、平直式或下落式送纸轨道，打印纸宽： 79.5±0.5mm </w:t>
            </w:r>
          </w:p>
        </w:tc>
      </w:tr>
      <w:tr w14:paraId="5B83A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75" w:type="dxa"/>
            <w:vAlign w:val="center"/>
          </w:tcPr>
          <w:p w14:paraId="322B8AAD">
            <w:pPr>
              <w:pageBreakBefore w:val="0"/>
              <w:kinsoku/>
              <w:wordWrap/>
              <w:overflowPunct/>
              <w:topLinePunct w:val="0"/>
              <w:autoSpaceDE/>
              <w:autoSpaceDN/>
              <w:bidi w:val="0"/>
              <w:spacing w:before="20" w:after="20" w:line="240" w:lineRule="auto"/>
              <w:ind w:right="0" w:firstLine="0" w:firstLineChars="0"/>
              <w:jc w:val="center"/>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二维扫描仪</w:t>
            </w:r>
          </w:p>
        </w:tc>
        <w:tc>
          <w:tcPr>
            <w:tcW w:w="7614" w:type="dxa"/>
            <w:vAlign w:val="center"/>
          </w:tcPr>
          <w:p w14:paraId="2DFA3C81">
            <w:pPr>
              <w:pageBreakBefore w:val="0"/>
              <w:kinsoku/>
              <w:wordWrap/>
              <w:overflowPunct/>
              <w:topLinePunct w:val="0"/>
              <w:autoSpaceDE/>
              <w:autoSpaceDN/>
              <w:bidi w:val="0"/>
              <w:spacing w:before="20" w:after="20" w:line="240" w:lineRule="auto"/>
              <w:ind w:right="0" w:firstLine="0" w:firstLineChars="0"/>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解码能力：自动识别标准一维码和二维码，系统接口：RS232串口,USB口</w:t>
            </w:r>
          </w:p>
        </w:tc>
      </w:tr>
      <w:tr w14:paraId="03DF3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75" w:type="dxa"/>
            <w:vAlign w:val="center"/>
          </w:tcPr>
          <w:p w14:paraId="37E054B9">
            <w:pPr>
              <w:pageBreakBefore w:val="0"/>
              <w:kinsoku/>
              <w:wordWrap/>
              <w:overflowPunct/>
              <w:topLinePunct w:val="0"/>
              <w:autoSpaceDE/>
              <w:autoSpaceDN/>
              <w:bidi w:val="0"/>
              <w:spacing w:before="20" w:after="20" w:line="240" w:lineRule="auto"/>
              <w:ind w:right="0" w:firstLine="0" w:firstLineChars="0"/>
              <w:jc w:val="center"/>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主机</w:t>
            </w:r>
          </w:p>
        </w:tc>
        <w:tc>
          <w:tcPr>
            <w:tcW w:w="7614" w:type="dxa"/>
            <w:vAlign w:val="center"/>
          </w:tcPr>
          <w:p w14:paraId="1A2B64A9">
            <w:pPr>
              <w:pageBreakBefore w:val="0"/>
              <w:kinsoku/>
              <w:wordWrap/>
              <w:overflowPunct/>
              <w:topLinePunct w:val="0"/>
              <w:autoSpaceDE/>
              <w:autoSpaceDN/>
              <w:bidi w:val="0"/>
              <w:spacing w:before="20" w:after="20" w:line="240" w:lineRule="auto"/>
              <w:ind w:right="0" w:firstLine="0" w:firstLineChars="0"/>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采用低功耗工业主板</w:t>
            </w:r>
            <w:r>
              <w:rPr>
                <w:rFonts w:hint="eastAsia" w:ascii="方正仿宋_GBK" w:hAnsi="方正仿宋_GBK" w:eastAsia="方正仿宋_GBK" w:cs="方正仿宋_GBK"/>
                <w:sz w:val="28"/>
                <w:szCs w:val="28"/>
                <w:lang w:val="en-US" w:eastAsia="zh-CN"/>
              </w:rPr>
              <w:t>，内存≥4GB, 硬盘≥100GB（固态）</w:t>
            </w:r>
          </w:p>
        </w:tc>
      </w:tr>
      <w:tr w14:paraId="53BD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75" w:type="dxa"/>
            <w:vAlign w:val="center"/>
          </w:tcPr>
          <w:p w14:paraId="16F7D8EA">
            <w:pPr>
              <w:pageBreakBefore w:val="0"/>
              <w:kinsoku/>
              <w:wordWrap/>
              <w:overflowPunct/>
              <w:topLinePunct w:val="0"/>
              <w:autoSpaceDE/>
              <w:autoSpaceDN/>
              <w:bidi w:val="0"/>
              <w:spacing w:before="20" w:after="20" w:line="240" w:lineRule="auto"/>
              <w:ind w:right="0" w:firstLine="0" w:firstLineChars="0"/>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其他</w:t>
            </w:r>
          </w:p>
        </w:tc>
        <w:tc>
          <w:tcPr>
            <w:tcW w:w="7614" w:type="dxa"/>
            <w:vAlign w:val="center"/>
          </w:tcPr>
          <w:p w14:paraId="48617E08">
            <w:pPr>
              <w:pageBreakBefore w:val="0"/>
              <w:kinsoku/>
              <w:wordWrap/>
              <w:overflowPunct/>
              <w:topLinePunct w:val="0"/>
              <w:autoSpaceDE/>
              <w:autoSpaceDN/>
              <w:bidi w:val="0"/>
              <w:spacing w:before="20" w:after="20" w:line="240" w:lineRule="auto"/>
              <w:ind w:right="0" w:firstLine="0" w:firstLineChars="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支持身份证离线读卡，与内置留观软件可集成使用。</w:t>
            </w:r>
          </w:p>
        </w:tc>
      </w:tr>
    </w:tbl>
    <w:p w14:paraId="08EA3D4F">
      <w:pPr>
        <w:pStyle w:val="5"/>
        <w:pageBreakBefore w:val="0"/>
        <w:kinsoku/>
        <w:wordWrap/>
        <w:overflowPunct/>
        <w:topLinePunct w:val="0"/>
        <w:autoSpaceDE/>
        <w:autoSpaceDN/>
        <w:bidi w:val="0"/>
        <w:spacing w:before="20" w:after="20" w:line="240" w:lineRule="auto"/>
        <w:ind w:right="0" w:firstLine="562"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其他要求</w:t>
      </w:r>
    </w:p>
    <w:p w14:paraId="25345AB2">
      <w:pPr>
        <w:pageBreakBefore w:val="0"/>
        <w:widowControl/>
        <w:kinsoku/>
        <w:wordWrap/>
        <w:overflowPunct/>
        <w:topLinePunct w:val="0"/>
        <w:autoSpaceDE/>
        <w:autoSpaceDN/>
        <w:bidi w:val="0"/>
        <w:adjustRightInd w:val="0"/>
        <w:snapToGrid w:val="0"/>
        <w:spacing w:before="20" w:after="20" w:line="240" w:lineRule="auto"/>
        <w:ind w:right="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系统需沿用重庆市免疫规划信息管理系统的统一数据标准，需与重庆市狂犬病暴露预防接种信息系统实现无缝对接。重庆市狂犬病暴露预防接种信息系统升级调整时，犬伤留观系统也需要同步完成升级，不得出现影响重庆市狂犬病暴露预防接种信息系统运行的情况。</w:t>
      </w:r>
    </w:p>
    <w:p w14:paraId="20761853">
      <w:pPr>
        <w:pageBreakBefore w:val="0"/>
        <w:numPr>
          <w:ilvl w:val="0"/>
          <w:numId w:val="0"/>
        </w:numPr>
        <w:kinsoku/>
        <w:wordWrap/>
        <w:overflowPunct/>
        <w:topLinePunct w:val="0"/>
        <w:autoSpaceDE/>
        <w:autoSpaceDN/>
        <w:bidi w:val="0"/>
        <w:spacing w:before="20" w:after="20" w:line="240" w:lineRule="auto"/>
        <w:ind w:leftChars="0" w:right="0" w:rightChars="0" w:firstLine="562" w:firstLineChars="200"/>
        <w:jc w:val="both"/>
        <w:textAlignment w:val="auto"/>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4.数字化预防接种门诊候诊信息显示系统（大屏）</w:t>
      </w:r>
    </w:p>
    <w:p w14:paraId="0D7CFFCD">
      <w:pPr>
        <w:pStyle w:val="5"/>
        <w:pageBreakBefore w:val="0"/>
        <w:widowControl w:val="0"/>
        <w:kinsoku/>
        <w:wordWrap/>
        <w:overflowPunct/>
        <w:topLinePunct w:val="0"/>
        <w:autoSpaceDE/>
        <w:autoSpaceDN/>
        <w:bidi w:val="0"/>
        <w:adjustRightInd/>
        <w:snapToGrid/>
        <w:spacing w:before="0" w:after="0" w:line="240" w:lineRule="auto"/>
        <w:ind w:firstLine="562"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系统功能要求</w:t>
      </w:r>
    </w:p>
    <w:p w14:paraId="45A93D66">
      <w:pPr>
        <w:pageBreakBefore w:val="0"/>
        <w:widowControl w:val="0"/>
        <w:kinsoku/>
        <w:wordWrap/>
        <w:overflowPunct/>
        <w:topLinePunct w:val="0"/>
        <w:autoSpaceDE/>
        <w:autoSpaceDN/>
        <w:bidi w:val="0"/>
        <w:adjustRightInd/>
        <w:snapToGrid/>
        <w:spacing w:line="240" w:lineRule="auto"/>
        <w:ind w:firstLine="48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留观大屏能够显示未留观完成的受种者需留观剩余时间，提醒已经留观到点的受种者，与多媒体视频发布模块协同工作，在等候时可以播放宣教片</w:t>
      </w:r>
    </w:p>
    <w:p w14:paraId="3FA070DE">
      <w:pPr>
        <w:pStyle w:val="5"/>
        <w:pageBreakBefore w:val="0"/>
        <w:widowControl w:val="0"/>
        <w:kinsoku/>
        <w:wordWrap/>
        <w:overflowPunct/>
        <w:topLinePunct w:val="0"/>
        <w:autoSpaceDE/>
        <w:autoSpaceDN/>
        <w:bidi w:val="0"/>
        <w:adjustRightInd/>
        <w:snapToGrid/>
        <w:spacing w:before="0" w:after="0" w:line="240" w:lineRule="auto"/>
        <w:ind w:firstLine="562"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(2)专用硬件要求  </w:t>
      </w:r>
    </w:p>
    <w:tbl>
      <w:tblPr>
        <w:tblStyle w:val="14"/>
        <w:tblW w:w="0" w:type="auto"/>
        <w:tblInd w:w="4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80"/>
        <w:gridCol w:w="7213"/>
      </w:tblGrid>
      <w:tr w14:paraId="7C2D7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AD760">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en-US" w:eastAsia="zh-CN"/>
              </w:rPr>
              <w:t>主要构成项目</w:t>
            </w:r>
          </w:p>
        </w:tc>
        <w:tc>
          <w:tcPr>
            <w:tcW w:w="7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DCE3C">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en-US" w:eastAsia="zh-CN"/>
              </w:rPr>
              <w:t>参数</w:t>
            </w:r>
          </w:p>
        </w:tc>
      </w:tr>
      <w:tr w14:paraId="6602D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8CC4D">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en-US" w:eastAsia="zh-CN"/>
              </w:rPr>
              <w:t>液晶屏</w:t>
            </w:r>
          </w:p>
        </w:tc>
        <w:tc>
          <w:tcPr>
            <w:tcW w:w="7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0176">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屏幕尺寸≥ 55寸（尺寸根据实际调整）；</w:t>
            </w:r>
          </w:p>
          <w:p w14:paraId="7245A513">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分辨率支持：1920*1080；</w:t>
            </w:r>
          </w:p>
          <w:p w14:paraId="72C582B3">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显示比例支持：16:9</w:t>
            </w:r>
          </w:p>
          <w:p w14:paraId="72F86E26">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en-US" w:eastAsia="zh-CN"/>
              </w:rPr>
              <w:t>显示亮度：≥ 300cd/㎡</w:t>
            </w:r>
          </w:p>
        </w:tc>
      </w:tr>
      <w:tr w14:paraId="148E1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1F174">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en-US" w:eastAsia="zh-CN"/>
              </w:rPr>
              <w:t>主板</w:t>
            </w:r>
          </w:p>
        </w:tc>
        <w:tc>
          <w:tcPr>
            <w:tcW w:w="7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6A544">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CPU:四核,≥1.0 GHz</w:t>
            </w:r>
          </w:p>
          <w:p w14:paraId="3A0F41B4">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内存：≥1.0 G</w:t>
            </w:r>
          </w:p>
          <w:p w14:paraId="341ED219">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en-US" w:eastAsia="zh-CN"/>
              </w:rPr>
              <w:t>存储：≥8.0 G</w:t>
            </w:r>
          </w:p>
        </w:tc>
      </w:tr>
      <w:tr w14:paraId="6BEE5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D247E">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en-US" w:eastAsia="zh-CN"/>
              </w:rPr>
              <w:t>接口</w:t>
            </w:r>
          </w:p>
        </w:tc>
        <w:tc>
          <w:tcPr>
            <w:tcW w:w="7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3B133">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en-US" w:eastAsia="zh-CN"/>
              </w:rPr>
              <w:t>提供外部USB接口</w:t>
            </w:r>
          </w:p>
        </w:tc>
      </w:tr>
      <w:tr w14:paraId="27704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95AB3">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en-US" w:eastAsia="zh-CN"/>
              </w:rPr>
              <w:t>网络</w:t>
            </w:r>
          </w:p>
        </w:tc>
        <w:tc>
          <w:tcPr>
            <w:tcW w:w="7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F29EC">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en-US" w:eastAsia="zh-CN"/>
              </w:rPr>
              <w:t>支持RJ45有线网络</w:t>
            </w:r>
          </w:p>
        </w:tc>
      </w:tr>
      <w:tr w14:paraId="051A3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82DFD">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en-US" w:eastAsia="zh-CN"/>
              </w:rPr>
              <w:t>其他</w:t>
            </w:r>
          </w:p>
        </w:tc>
        <w:tc>
          <w:tcPr>
            <w:tcW w:w="7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9D381">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en-US" w:eastAsia="zh-CN"/>
              </w:rPr>
              <w:t>220V/50HZ电源供电，内置喇叭，不小于8Ω</w:t>
            </w:r>
          </w:p>
        </w:tc>
      </w:tr>
    </w:tbl>
    <w:p w14:paraId="0114263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三、商务需求：（须完全响应）</w:t>
      </w:r>
    </w:p>
    <w:p w14:paraId="1E07808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1.最高限价</w:t>
      </w:r>
    </w:p>
    <w:p w14:paraId="35EE27D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val="en-US" w:eastAsia="zh-CN"/>
        </w:rPr>
        <w:t>本项目最高限价44000元。报价要求：本次报价为人民币包干价，包含：货款、安装调试费（维护费）、资料装订及邮寄费、人工住宿差旅费、税费、保险费、系统接口费、验收检测费等完成本项目所需的一切费用。因成交供应商自身原因造成漏报、少报皆由其自行承担责任，采购人不再补偿。服务期间发生的安全责任事故由供应商自行承担。</w:t>
      </w:r>
    </w:p>
    <w:p w14:paraId="41862DCA">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2.</w:t>
      </w:r>
      <w:r>
        <w:rPr>
          <w:rFonts w:hint="eastAsia" w:ascii="方正仿宋_GBK" w:hAnsi="方正仿宋_GBK" w:eastAsia="方正仿宋_GBK" w:cs="方正仿宋_GBK"/>
          <w:b/>
          <w:bCs/>
          <w:color w:val="auto"/>
          <w:sz w:val="32"/>
          <w:szCs w:val="32"/>
        </w:rPr>
        <w:t>服务期</w:t>
      </w:r>
    </w:p>
    <w:p w14:paraId="412D8FE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自</w:t>
      </w:r>
      <w:r>
        <w:rPr>
          <w:rFonts w:hint="eastAsia" w:ascii="方正仿宋_GBK" w:hAnsi="方正仿宋_GBK" w:eastAsia="方正仿宋_GBK" w:cs="方正仿宋_GBK"/>
          <w:color w:val="auto"/>
          <w:sz w:val="32"/>
          <w:szCs w:val="32"/>
          <w:lang w:val="en-US" w:eastAsia="zh-CN"/>
        </w:rPr>
        <w:t>中选后</w:t>
      </w:r>
      <w:r>
        <w:rPr>
          <w:rFonts w:hint="eastAsia" w:ascii="方正仿宋_GBK" w:hAnsi="方正仿宋_GBK" w:eastAsia="方正仿宋_GBK" w:cs="方正仿宋_GBK"/>
          <w:color w:val="auto"/>
          <w:sz w:val="32"/>
          <w:szCs w:val="32"/>
        </w:rPr>
        <w:t>起</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20</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个日历日</w:t>
      </w:r>
      <w:r>
        <w:rPr>
          <w:rFonts w:hint="eastAsia" w:ascii="方正仿宋_GBK" w:hAnsi="方正仿宋_GBK" w:eastAsia="方正仿宋_GBK" w:cs="方正仿宋_GBK"/>
          <w:color w:val="auto"/>
          <w:sz w:val="32"/>
          <w:szCs w:val="32"/>
          <w:u w:val="none"/>
          <w:lang w:val="en-US" w:eastAsia="zh-CN"/>
        </w:rPr>
        <w:t>完成安装调试</w:t>
      </w:r>
      <w:r>
        <w:rPr>
          <w:rFonts w:hint="eastAsia" w:ascii="方正仿宋_GBK" w:hAnsi="方正仿宋_GBK" w:eastAsia="方正仿宋_GBK" w:cs="方正仿宋_GBK"/>
          <w:color w:val="auto"/>
          <w:sz w:val="32"/>
          <w:szCs w:val="32"/>
        </w:rPr>
        <w:t>。</w:t>
      </w:r>
    </w:p>
    <w:p w14:paraId="7DF84F93">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sz w:val="32"/>
          <w:szCs w:val="32"/>
          <w:lang w:val="en-US" w:eastAsia="zh-CN"/>
        </w:rPr>
        <w:t>3.</w:t>
      </w:r>
      <w:r>
        <w:rPr>
          <w:rFonts w:hint="eastAsia" w:ascii="方正仿宋_GBK" w:hAnsi="方正仿宋_GBK" w:eastAsia="方正仿宋_GBK" w:cs="方正仿宋_GBK"/>
          <w:b/>
          <w:bCs/>
          <w:color w:val="auto"/>
          <w:kern w:val="0"/>
          <w:sz w:val="32"/>
          <w:szCs w:val="32"/>
          <w:lang w:val="en-US" w:eastAsia="zh-CN"/>
        </w:rPr>
        <w:t>合同签订</w:t>
      </w:r>
    </w:p>
    <w:p w14:paraId="72C79AA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成交供应商在接到成交通知后20日内与采购人签订采购合同和廉政购销协议。</w:t>
      </w:r>
    </w:p>
    <w:p w14:paraId="74A9B81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付款方式</w:t>
      </w:r>
    </w:p>
    <w:p w14:paraId="27E6A7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验收合格后一次性支付成交价的95%，剩余款质保结束维保合格且系统设备运行正常后一次性无息支付。付款时供应商须提交全额发票、培训记录、验收记录。</w:t>
      </w:r>
    </w:p>
    <w:p w14:paraId="034574F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w:t>
      </w:r>
    </w:p>
    <w:p w14:paraId="5A87C43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（1）送货安装前须采购人确认产品是否是投标的正规产品，经确认后方能安装调试；</w:t>
      </w:r>
    </w:p>
    <w:p w14:paraId="56EA5F6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（2）设备及系统正常运行1个月后进行验收，按照招投标文件要求进行验收。</w:t>
      </w:r>
    </w:p>
    <w:p w14:paraId="66172CE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（3）验收产生争议时由采购人择优选择第三方有资质的机构进行检测，验收费用由供应商承担。</w:t>
      </w:r>
    </w:p>
    <w:p w14:paraId="593BF45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79083C3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（1）质保期不低于3年，产品有任何质量问题，供应商应30分钟提供电话响应，4小时来院处置，未及时响应将承担违约责任。</w:t>
      </w:r>
    </w:p>
    <w:p w14:paraId="5A7F6A2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（2）质保期内产品突发故障的维修处理期限不计算到质保期，质保期限顺延。</w:t>
      </w:r>
    </w:p>
    <w:p w14:paraId="24EC62D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（3）质保期届满后，供应商应免费提供电话咨询等服务，协助采购人处理故障。</w:t>
      </w:r>
    </w:p>
    <w:p w14:paraId="037365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683D81A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6AE81D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8.违约责任</w:t>
      </w:r>
    </w:p>
    <w:p w14:paraId="317E16F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中标供应商未在约定期限交付产品，延迟每日支付千分之三的违约金，超过30日未能交付，采购人有权解除合同；按照验收不合格，采购人有权要求供应商整改，整改期限为10日，整改期限届满仍未完成的供应商每日支付千分之三的违约金，超过20日未能完成整改，采购人有权解除合同；质保期未按售后要求提供维保服务，供应商将承担200元/次的违约金；使用中发现供应商提供的产品有质量或安全问题，供应商应立即整改，对采购人造成的损失进行全额赔偿，同时采购人有权解除合同并要求供应商承担项目金额10倍违约金；因不能按期交付，整改期限届满以及其他原因导致采购人解除合同，以及供应商明确表示终止合同，供应商需承担合同总金额30%的违约金，并承担对采购人造成的损失。</w:t>
      </w:r>
    </w:p>
    <w:p w14:paraId="1126453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9.中选标准</w:t>
      </w:r>
    </w:p>
    <w:p w14:paraId="5D99EE5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本项目采用最低评标价法评选。如超出投标报价、未在规定的时间内上交资料及资料不齐全的为无效报价。</w:t>
      </w:r>
    </w:p>
    <w:p w14:paraId="57ACF90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10.其他要求</w:t>
      </w:r>
    </w:p>
    <w:p w14:paraId="2AAFDE1D">
      <w:pPr>
        <w:pStyle w:val="6"/>
        <w:spacing w:line="500" w:lineRule="exact"/>
        <w:ind w:firstLine="640" w:firstLineChars="200"/>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首次询价无3家有效供应商；供应商不能在规定时限内对响应材料的真实性和合理性进行说明；供应商存在围标、串标等违法行为；中选供应商存在虚假响应。（8）无效响应情况：供应商不符合规定的基本资格条件或特定资格条件的；供应商所提交的响应文件未按询价文件要求签字、盖章、份数；供应商的报价超过采购限价的；法定代表人为同一个人的两个及两个以上法人，母公司、全资子公司及其控股公司，在同一分包采购中同时参与投标；单位负责人为同一人或者存在直接控股、管理关系的不同供应商，参加同一合同项下的政府采购活动的；供应商未按照采购要求逐项提交佐证材料；不能完全满足商务要求的；供应商响应文件内容有与国家现行法律法规相违背的内容，或附有采购人无法接受的条件。</w:t>
      </w:r>
    </w:p>
    <w:p w14:paraId="37DCBF5C">
      <w:pPr>
        <w:pStyle w:val="6"/>
        <w:spacing w:line="500" w:lineRule="exact"/>
        <w:ind w:firstLine="640" w:firstLineChars="200"/>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14:paraId="23CA0580">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hAnsi="宋体" w:eastAsia="仿宋_GB2312" w:cs="宋体"/>
          <w:kern w:val="2"/>
          <w:sz w:val="32"/>
          <w:szCs w:val="32"/>
          <w:lang w:val="zh-CN" w:eastAsia="zh-CN" w:bidi="ar-SA"/>
        </w:rPr>
        <w:t>1.</w:t>
      </w:r>
      <w:r>
        <w:rPr>
          <w:rFonts w:hint="eastAsia" w:ascii="仿宋_GB2312" w:hAnsi="宋体" w:eastAsia="仿宋_GB2312" w:cs="宋体"/>
          <w:kern w:val="2"/>
          <w:sz w:val="32"/>
          <w:szCs w:val="32"/>
          <w:lang w:val="en-US" w:eastAsia="zh-CN" w:bidi="ar-SA"/>
        </w:rPr>
        <w:t>资格条件</w:t>
      </w:r>
      <w:r>
        <w:rPr>
          <w:rFonts w:hint="eastAsia" w:ascii="仿宋_GB2312" w:hAnsi="宋体" w:eastAsia="仿宋_GB2312" w:cs="宋体"/>
          <w:kern w:val="2"/>
          <w:sz w:val="32"/>
          <w:szCs w:val="32"/>
          <w:lang w:val="zh-CN" w:eastAsia="zh-CN" w:bidi="ar-SA"/>
        </w:rPr>
        <w:t>。</w:t>
      </w:r>
    </w:p>
    <w:p w14:paraId="7447790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2.基本资格条件承诺函</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w:t>
      </w:r>
    </w:p>
    <w:p w14:paraId="4871972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11.质保期内售后服务承诺</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12.质保期届满后易损配件报价</w:t>
      </w:r>
    </w:p>
    <w:p w14:paraId="3D41F623">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.投标廉政承诺书</w:t>
      </w:r>
    </w:p>
    <w:p w14:paraId="221A51C5">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4</w:t>
      </w:r>
      <w:r>
        <w:rPr>
          <w:rFonts w:hint="eastAsia" w:ascii="仿宋_GB2312" w:hAnsi="宋体" w:eastAsia="仿宋_GB2312" w:cs="宋体"/>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投标档案袋密封要求</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6858ECB8">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b/>
          <w:bCs/>
          <w:color w:val="auto"/>
          <w:sz w:val="32"/>
          <w:szCs w:val="32"/>
          <w:lang w:val="en-US" w:eastAsia="zh-CN"/>
        </w:rPr>
        <w:t>如医疗器械销售须提供医疗器械销售资质</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left"/>
        <w:rPr>
          <w:rFonts w:ascii="微软雅黑" w:hAnsi="微软雅黑" w:eastAsia="微软雅黑" w:cs="方正小标宋_GBK"/>
          <w:b/>
          <w:bCs/>
          <w:sz w:val="32"/>
          <w:szCs w:val="32"/>
        </w:rPr>
      </w:pPr>
      <w:r>
        <w:rPr>
          <w:rFonts w:hint="eastAsia" w:ascii="仿宋_GB2312" w:hAnsi="Arial" w:eastAsia="仿宋_GB2312" w:cstheme="minorBidi"/>
          <w:b/>
          <w:color w:val="auto"/>
          <w:kern w:val="2"/>
          <w:sz w:val="28"/>
          <w:szCs w:val="28"/>
          <w:lang w:val="en-US" w:eastAsia="zh-CN" w:bidi="ar-SA"/>
        </w:rPr>
        <w:br w:type="page"/>
      </w:r>
      <w:r>
        <w:rPr>
          <w:rFonts w:hint="eastAsia" w:ascii="仿宋_GB2312" w:hAnsi="Arial" w:eastAsia="仿宋_GB2312" w:cstheme="minorBidi"/>
          <w:b/>
          <w:color w:val="auto"/>
          <w:kern w:val="2"/>
          <w:sz w:val="28"/>
          <w:szCs w:val="28"/>
          <w:lang w:val="en-US" w:eastAsia="zh-CN" w:bidi="ar-SA"/>
        </w:rPr>
        <w:t>二、</w:t>
      </w:r>
      <w:r>
        <w:rPr>
          <w:rFonts w:hint="eastAsia" w:ascii="微软雅黑" w:hAnsi="微软雅黑" w:eastAsia="微软雅黑" w:cs="方正小标宋_GBK"/>
          <w:b/>
          <w:bCs/>
          <w:sz w:val="32"/>
          <w:szCs w:val="32"/>
        </w:rPr>
        <w:t>基本资格条件承诺函</w:t>
      </w:r>
    </w:p>
    <w:p w14:paraId="213119B7">
      <w:pPr>
        <w:jc w:val="center"/>
        <w:rPr>
          <w:rFonts w:ascii="方正小标宋_GBK" w:hAnsi="方正小标宋_GBK" w:eastAsia="方正小标宋_GBK" w:cs="方正小标宋_GBK"/>
          <w:sz w:val="40"/>
          <w:szCs w:val="40"/>
        </w:rPr>
      </w:pPr>
    </w:p>
    <w:p w14:paraId="601E886E">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6F047435">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6FCA860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55C020A6">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3EBFF1D2">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751BB740">
      <w:pPr>
        <w:ind w:firstLine="600" w:firstLineChars="200"/>
        <w:rPr>
          <w:rFonts w:ascii="微软雅黑" w:hAnsi="微软雅黑" w:eastAsia="微软雅黑" w:cs="微软雅黑"/>
          <w:sz w:val="30"/>
          <w:szCs w:val="30"/>
        </w:rPr>
      </w:pPr>
    </w:p>
    <w:p w14:paraId="0AD837F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9842051">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三、法定代表人身份证明书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0169C966">
      <w:pPr>
        <w:pStyle w:val="4"/>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28014297"/>
      <w:bookmarkStart w:id="1" w:name="_Toc156196472"/>
      <w:bookmarkStart w:id="2" w:name="_Toc175017344"/>
      <w:bookmarkStart w:id="3" w:name="_Toc237057793"/>
      <w:bookmarkStart w:id="4" w:name="_Toc173677399"/>
      <w:bookmarkStart w:id="5" w:name="_Toc128229304"/>
      <w:bookmarkStart w:id="6" w:name="_Toc128229747"/>
    </w:p>
    <w:p w14:paraId="6EB84F7D">
      <w:pPr>
        <w:pStyle w:val="4"/>
        <w:numPr>
          <w:ilvl w:val="0"/>
          <w:numId w:val="0"/>
        </w:numPr>
        <w:adjustRightInd w:val="0"/>
        <w:snapToGrid w:val="0"/>
        <w:spacing w:line="360" w:lineRule="auto"/>
        <w:jc w:val="both"/>
        <w:rPr>
          <w:rFonts w:hint="eastAsia"/>
          <w:color w:val="auto"/>
          <w:sz w:val="28"/>
          <w:szCs w:val="28"/>
        </w:rPr>
      </w:pPr>
      <w:r>
        <w:rPr>
          <w:rFonts w:hint="eastAsia"/>
          <w:color w:val="auto"/>
          <w:sz w:val="28"/>
          <w:szCs w:val="28"/>
          <w:lang w:val="en-US" w:eastAsia="zh-CN"/>
        </w:rPr>
        <w:t>四、</w:t>
      </w:r>
      <w:r>
        <w:rPr>
          <w:rFonts w:hint="eastAsia"/>
          <w:color w:val="auto"/>
          <w:sz w:val="28"/>
          <w:szCs w:val="28"/>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投标人法定代表人授权委托书（格式）</w:t>
      </w:r>
    </w:p>
    <w:p w14:paraId="7A48D29C">
      <w:pPr>
        <w:pStyle w:val="8"/>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五、报价表及明细表</w:t>
      </w:r>
    </w:p>
    <w:p w14:paraId="191ED7A7">
      <w:pPr>
        <w:pStyle w:val="10"/>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10"/>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10"/>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3785074E">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10"/>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4"/>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每年质保维护费</w:t>
            </w:r>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1134" w:type="dxa"/>
            <w:noWrap w:val="0"/>
            <w:vAlign w:val="center"/>
          </w:tcPr>
          <w:p w14:paraId="460A705A">
            <w:pPr>
              <w:spacing w:line="300" w:lineRule="exact"/>
              <w:rPr>
                <w:rFonts w:ascii="微软雅黑" w:hAnsi="微软雅黑" w:eastAsia="微软雅黑" w:cs="微软雅黑"/>
                <w:sz w:val="24"/>
                <w:szCs w:val="24"/>
              </w:rPr>
            </w:pPr>
          </w:p>
        </w:tc>
        <w:tc>
          <w:tcPr>
            <w:tcW w:w="1276"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1134" w:type="dxa"/>
            <w:noWrap w:val="0"/>
            <w:vAlign w:val="center"/>
          </w:tcPr>
          <w:p w14:paraId="5F2D2CCF">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1134" w:type="dxa"/>
            <w:noWrap w:val="0"/>
            <w:vAlign w:val="center"/>
          </w:tcPr>
          <w:p w14:paraId="32399EA8">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1134" w:type="dxa"/>
            <w:noWrap w:val="0"/>
            <w:vAlign w:val="center"/>
          </w:tcPr>
          <w:p w14:paraId="60726E1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1134" w:type="dxa"/>
            <w:noWrap w:val="0"/>
            <w:vAlign w:val="center"/>
          </w:tcPr>
          <w:p w14:paraId="3C26AA0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2"/>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spacing w:line="594" w:lineRule="exact"/>
        <w:jc w:val="both"/>
        <w:rPr>
          <w:rFonts w:hint="eastAsia" w:ascii="微软雅黑" w:hAnsi="微软雅黑" w:eastAsia="微软雅黑"/>
          <w:b/>
          <w:bCs/>
          <w:sz w:val="32"/>
          <w:szCs w:val="32"/>
        </w:rPr>
      </w:pPr>
      <w:r>
        <w:rPr>
          <w:rFonts w:hint="eastAsia" w:ascii="微软雅黑" w:hAnsi="微软雅黑" w:eastAsia="微软雅黑"/>
          <w:b/>
          <w:bCs/>
          <w:sz w:val="32"/>
          <w:szCs w:val="32"/>
          <w:lang w:val="en-US" w:eastAsia="zh-CN"/>
        </w:rPr>
        <w:t>六、</w:t>
      </w:r>
      <w:r>
        <w:rPr>
          <w:rFonts w:hint="eastAsia" w:ascii="微软雅黑" w:hAnsi="微软雅黑" w:eastAsia="微软雅黑"/>
          <w:b/>
          <w:bCs/>
          <w:sz w:val="32"/>
          <w:szCs w:val="32"/>
        </w:rPr>
        <w:t>技术参数</w:t>
      </w:r>
      <w:r>
        <w:rPr>
          <w:rFonts w:hint="eastAsia" w:ascii="微软雅黑" w:hAnsi="微软雅黑" w:eastAsia="微软雅黑" w:cs="宋体"/>
          <w:b/>
          <w:bCs/>
          <w:sz w:val="32"/>
          <w:szCs w:val="32"/>
        </w:rPr>
        <w:t>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4"/>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3"/>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4B3110C5">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rPr>
      </w:pPr>
      <w:r>
        <w:rPr>
          <w:rFonts w:hint="eastAsia" w:ascii="微软雅黑" w:hAnsi="微软雅黑" w:eastAsia="微软雅黑" w:cs="宋体"/>
          <w:sz w:val="32"/>
          <w:szCs w:val="32"/>
          <w:lang w:val="en-US" w:eastAsia="zh-CN"/>
        </w:rPr>
        <w:t>七</w:t>
      </w:r>
      <w:r>
        <w:rPr>
          <w:rFonts w:hint="eastAsia" w:ascii="微软雅黑" w:hAnsi="微软雅黑" w:eastAsia="微软雅黑" w:cs="宋体"/>
          <w:sz w:val="32"/>
          <w:szCs w:val="32"/>
          <w:lang w:eastAsia="zh-CN"/>
        </w:rPr>
        <w:t>、</w:t>
      </w: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4"/>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6487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C69E46B">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AC956E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0FEA5E6">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087A9274">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68BE3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465" w:type="dxa"/>
            <w:vMerge w:val="restart"/>
            <w:tcBorders>
              <w:top w:val="single" w:color="auto" w:sz="4" w:space="0"/>
              <w:left w:val="single" w:color="auto" w:sz="4" w:space="0"/>
              <w:bottom w:val="single" w:color="auto" w:sz="4" w:space="0"/>
              <w:right w:val="single" w:color="auto" w:sz="4" w:space="0"/>
            </w:tcBorders>
            <w:noWrap w:val="0"/>
            <w:vAlign w:val="center"/>
          </w:tcPr>
          <w:p w14:paraId="47D00877">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及地</w:t>
            </w:r>
            <w:r>
              <w:rPr>
                <w:rFonts w:hint="eastAsia" w:ascii="微软雅黑" w:hAnsi="微软雅黑" w:eastAsia="微软雅黑" w:cs="宋体"/>
                <w:sz w:val="30"/>
                <w:szCs w:val="30"/>
              </w:rPr>
              <w:t>点</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E283899">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3E8D698C">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F9CA277">
            <w:pPr>
              <w:spacing w:line="594" w:lineRule="exact"/>
              <w:ind w:firstLine="556" w:firstLineChars="200"/>
              <w:rPr>
                <w:rFonts w:hint="eastAsia" w:ascii="微软雅黑" w:hAnsi="微软雅黑" w:eastAsia="微软雅黑"/>
                <w:sz w:val="30"/>
                <w:szCs w:val="30"/>
              </w:rPr>
            </w:pPr>
          </w:p>
        </w:tc>
      </w:tr>
      <w:tr w14:paraId="11F5B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continue"/>
            <w:tcBorders>
              <w:top w:val="single" w:color="auto" w:sz="4" w:space="0"/>
              <w:left w:val="single" w:color="auto" w:sz="4" w:space="0"/>
              <w:bottom w:val="single" w:color="auto" w:sz="4" w:space="0"/>
              <w:right w:val="single" w:color="auto" w:sz="4" w:space="0"/>
            </w:tcBorders>
            <w:noWrap w:val="0"/>
            <w:vAlign w:val="center"/>
          </w:tcPr>
          <w:p w14:paraId="516D011B">
            <w:pPr>
              <w:widowControl/>
              <w:jc w:val="left"/>
              <w:rPr>
                <w:rFonts w:ascii="微软雅黑" w:hAnsi="微软雅黑" w:eastAsia="微软雅黑"/>
                <w:sz w:val="30"/>
                <w:szCs w:val="30"/>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3F02A9C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D3376A6">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F0B28E0">
            <w:pPr>
              <w:spacing w:line="594" w:lineRule="exact"/>
              <w:ind w:firstLine="556" w:firstLineChars="200"/>
              <w:rPr>
                <w:rFonts w:hint="eastAsia" w:ascii="微软雅黑" w:hAnsi="微软雅黑" w:eastAsia="微软雅黑"/>
                <w:sz w:val="30"/>
                <w:szCs w:val="30"/>
              </w:rPr>
            </w:pPr>
          </w:p>
        </w:tc>
      </w:tr>
      <w:tr w14:paraId="2792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EFF22D5">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A0F96C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00E19D5B">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4591770">
            <w:pPr>
              <w:spacing w:line="594" w:lineRule="exact"/>
              <w:ind w:firstLine="556" w:firstLineChars="200"/>
              <w:rPr>
                <w:rFonts w:hint="eastAsia" w:ascii="微软雅黑" w:hAnsi="微软雅黑" w:eastAsia="微软雅黑"/>
                <w:sz w:val="30"/>
                <w:szCs w:val="30"/>
              </w:rPr>
            </w:pPr>
          </w:p>
        </w:tc>
      </w:tr>
      <w:tr w14:paraId="65F8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3E64001">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D054223">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856368">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FD20AD2">
            <w:pPr>
              <w:spacing w:line="594" w:lineRule="exact"/>
              <w:ind w:firstLine="556" w:firstLineChars="200"/>
              <w:rPr>
                <w:rFonts w:hint="eastAsia" w:ascii="微软雅黑" w:hAnsi="微软雅黑" w:eastAsia="微软雅黑"/>
                <w:sz w:val="30"/>
                <w:szCs w:val="30"/>
              </w:rPr>
            </w:pPr>
          </w:p>
        </w:tc>
      </w:tr>
      <w:tr w14:paraId="5768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restart"/>
            <w:tcBorders>
              <w:top w:val="single" w:color="auto" w:sz="4" w:space="0"/>
              <w:left w:val="single" w:color="auto" w:sz="4" w:space="0"/>
              <w:bottom w:val="single" w:color="auto" w:sz="4" w:space="0"/>
              <w:right w:val="single" w:color="auto" w:sz="4" w:space="0"/>
            </w:tcBorders>
            <w:noWrap w:val="0"/>
            <w:vAlign w:val="center"/>
          </w:tcPr>
          <w:p w14:paraId="797196C0">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安装调试、培训及验收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BA27E42">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A0B89C1">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685D6B">
            <w:pPr>
              <w:spacing w:line="594" w:lineRule="exact"/>
              <w:ind w:firstLine="556" w:firstLineChars="200"/>
              <w:rPr>
                <w:rFonts w:hint="eastAsia" w:ascii="微软雅黑" w:hAnsi="微软雅黑" w:eastAsia="微软雅黑"/>
                <w:sz w:val="30"/>
                <w:szCs w:val="30"/>
              </w:rPr>
            </w:pPr>
          </w:p>
        </w:tc>
      </w:tr>
      <w:tr w14:paraId="75DD2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continue"/>
            <w:tcBorders>
              <w:top w:val="single" w:color="auto" w:sz="4" w:space="0"/>
              <w:left w:val="single" w:color="auto" w:sz="4" w:space="0"/>
              <w:bottom w:val="single" w:color="auto" w:sz="4" w:space="0"/>
              <w:right w:val="single" w:color="auto" w:sz="4" w:space="0"/>
            </w:tcBorders>
            <w:noWrap w:val="0"/>
            <w:vAlign w:val="center"/>
          </w:tcPr>
          <w:p w14:paraId="3F272D6C">
            <w:pPr>
              <w:widowControl/>
              <w:jc w:val="left"/>
              <w:rPr>
                <w:rFonts w:ascii="微软雅黑" w:hAnsi="微软雅黑" w:eastAsia="微软雅黑"/>
                <w:sz w:val="30"/>
                <w:szCs w:val="30"/>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22B557F">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A45A645">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DC3C486">
            <w:pPr>
              <w:spacing w:line="594" w:lineRule="exact"/>
              <w:ind w:firstLine="556" w:firstLineChars="200"/>
              <w:rPr>
                <w:rFonts w:hint="eastAsia" w:ascii="微软雅黑" w:hAnsi="微软雅黑" w:eastAsia="微软雅黑"/>
                <w:sz w:val="30"/>
                <w:szCs w:val="30"/>
              </w:rPr>
            </w:pPr>
          </w:p>
        </w:tc>
      </w:tr>
      <w:tr w14:paraId="3977D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continue"/>
            <w:tcBorders>
              <w:top w:val="single" w:color="auto" w:sz="4" w:space="0"/>
              <w:left w:val="single" w:color="auto" w:sz="4" w:space="0"/>
              <w:bottom w:val="single" w:color="auto" w:sz="4" w:space="0"/>
              <w:right w:val="single" w:color="auto" w:sz="4" w:space="0"/>
            </w:tcBorders>
            <w:noWrap w:val="0"/>
            <w:vAlign w:val="center"/>
          </w:tcPr>
          <w:p w14:paraId="1B1A0894">
            <w:pPr>
              <w:widowControl/>
              <w:jc w:val="left"/>
              <w:rPr>
                <w:rFonts w:ascii="微软雅黑" w:hAnsi="微软雅黑" w:eastAsia="微软雅黑"/>
                <w:sz w:val="30"/>
                <w:szCs w:val="30"/>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B36D32E">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29BD9E6">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6FAADC2">
            <w:pPr>
              <w:spacing w:line="594" w:lineRule="exact"/>
              <w:ind w:firstLine="556" w:firstLineChars="200"/>
              <w:rPr>
                <w:rFonts w:hint="eastAsia" w:ascii="微软雅黑" w:hAnsi="微软雅黑" w:eastAsia="微软雅黑"/>
                <w:sz w:val="30"/>
                <w:szCs w:val="30"/>
              </w:rPr>
            </w:pPr>
          </w:p>
        </w:tc>
      </w:tr>
      <w:tr w14:paraId="1321B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restart"/>
            <w:tcBorders>
              <w:top w:val="single" w:color="auto" w:sz="4" w:space="0"/>
              <w:left w:val="single" w:color="auto" w:sz="4" w:space="0"/>
              <w:bottom w:val="single" w:color="auto" w:sz="4" w:space="0"/>
              <w:right w:val="single" w:color="auto" w:sz="4" w:space="0"/>
            </w:tcBorders>
            <w:noWrap w:val="0"/>
            <w:vAlign w:val="center"/>
          </w:tcPr>
          <w:p w14:paraId="2B72AD0A">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质量保证</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1316F5">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3561D8A">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03C63F80">
            <w:pPr>
              <w:spacing w:line="594" w:lineRule="exact"/>
              <w:ind w:firstLine="556" w:firstLineChars="200"/>
              <w:rPr>
                <w:rFonts w:hint="eastAsia" w:ascii="微软雅黑" w:hAnsi="微软雅黑" w:eastAsia="微软雅黑"/>
                <w:sz w:val="30"/>
                <w:szCs w:val="30"/>
              </w:rPr>
            </w:pPr>
          </w:p>
        </w:tc>
      </w:tr>
      <w:tr w14:paraId="67298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continue"/>
            <w:tcBorders>
              <w:top w:val="single" w:color="auto" w:sz="4" w:space="0"/>
              <w:left w:val="single" w:color="auto" w:sz="4" w:space="0"/>
              <w:bottom w:val="single" w:color="auto" w:sz="4" w:space="0"/>
              <w:right w:val="single" w:color="auto" w:sz="4" w:space="0"/>
            </w:tcBorders>
            <w:noWrap w:val="0"/>
            <w:vAlign w:val="center"/>
          </w:tcPr>
          <w:p w14:paraId="59D87DE0">
            <w:pPr>
              <w:widowControl/>
              <w:jc w:val="left"/>
              <w:rPr>
                <w:rFonts w:ascii="微软雅黑" w:hAnsi="微软雅黑" w:eastAsia="微软雅黑"/>
                <w:sz w:val="30"/>
                <w:szCs w:val="30"/>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BC904D9">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ABA1E8">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C6AC751">
            <w:pPr>
              <w:spacing w:line="594" w:lineRule="exact"/>
              <w:ind w:firstLine="556" w:firstLineChars="200"/>
              <w:rPr>
                <w:rFonts w:hint="eastAsia" w:ascii="微软雅黑" w:hAnsi="微软雅黑" w:eastAsia="微软雅黑"/>
                <w:sz w:val="30"/>
                <w:szCs w:val="30"/>
              </w:rPr>
            </w:pPr>
          </w:p>
        </w:tc>
      </w:tr>
      <w:tr w14:paraId="5F5EC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restart"/>
            <w:tcBorders>
              <w:top w:val="single" w:color="auto" w:sz="4" w:space="0"/>
              <w:left w:val="single" w:color="auto" w:sz="4" w:space="0"/>
              <w:bottom w:val="single" w:color="auto" w:sz="4" w:space="0"/>
              <w:right w:val="single" w:color="auto" w:sz="4" w:space="0"/>
            </w:tcBorders>
            <w:noWrap w:val="0"/>
            <w:vAlign w:val="center"/>
          </w:tcPr>
          <w:p w14:paraId="03668A45">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售</w:t>
            </w:r>
            <w:r>
              <w:rPr>
                <w:rFonts w:hint="eastAsia" w:ascii="微软雅黑" w:hAnsi="微软雅黑" w:eastAsia="微软雅黑"/>
                <w:sz w:val="30"/>
                <w:szCs w:val="30"/>
              </w:rPr>
              <w:t>后</w:t>
            </w:r>
            <w:r>
              <w:rPr>
                <w:rFonts w:hint="eastAsia" w:ascii="微软雅黑" w:hAnsi="微软雅黑" w:eastAsia="微软雅黑" w:cs="宋体"/>
                <w:sz w:val="30"/>
                <w:szCs w:val="30"/>
              </w:rPr>
              <w:t>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70B0E5F">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397C2B">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F00B218">
            <w:pPr>
              <w:spacing w:line="594" w:lineRule="exact"/>
              <w:ind w:firstLine="556" w:firstLineChars="200"/>
              <w:rPr>
                <w:rFonts w:hint="eastAsia" w:ascii="微软雅黑" w:hAnsi="微软雅黑" w:eastAsia="微软雅黑"/>
                <w:sz w:val="30"/>
                <w:szCs w:val="30"/>
              </w:rPr>
            </w:pPr>
          </w:p>
        </w:tc>
      </w:tr>
      <w:tr w14:paraId="2BA4F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2465" w:type="dxa"/>
            <w:vMerge w:val="continue"/>
            <w:tcBorders>
              <w:top w:val="single" w:color="auto" w:sz="4" w:space="0"/>
              <w:left w:val="single" w:color="auto" w:sz="4" w:space="0"/>
              <w:bottom w:val="single" w:color="auto" w:sz="4" w:space="0"/>
              <w:right w:val="single" w:color="auto" w:sz="4" w:space="0"/>
            </w:tcBorders>
            <w:noWrap w:val="0"/>
            <w:vAlign w:val="center"/>
          </w:tcPr>
          <w:p w14:paraId="4AEA9678">
            <w:pPr>
              <w:widowControl/>
              <w:jc w:val="left"/>
              <w:rPr>
                <w:rFonts w:ascii="微软雅黑" w:hAnsi="微软雅黑" w:eastAsia="微软雅黑"/>
                <w:sz w:val="30"/>
                <w:szCs w:val="30"/>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C2D21C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075BA2C">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7732EEF">
            <w:pPr>
              <w:spacing w:line="594" w:lineRule="exact"/>
              <w:ind w:firstLine="556" w:firstLineChars="200"/>
              <w:rPr>
                <w:rFonts w:hint="eastAsia" w:ascii="微软雅黑" w:hAnsi="微软雅黑" w:eastAsia="微软雅黑"/>
                <w:sz w:val="30"/>
                <w:szCs w:val="30"/>
              </w:rPr>
            </w:pPr>
          </w:p>
        </w:tc>
      </w:tr>
    </w:tbl>
    <w:p w14:paraId="6ECDC200">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D4D9BFE">
      <w:pPr>
        <w:pStyle w:val="6"/>
        <w:rPr>
          <w:rFonts w:hint="default" w:ascii="仿宋_GB2312" w:eastAsia="仿宋_GB2312" w:cs="宋体"/>
          <w:color w:val="auto"/>
          <w:sz w:val="32"/>
          <w:szCs w:val="32"/>
          <w:lang w:val="en-US" w:eastAsia="zh-CN"/>
        </w:rPr>
      </w:pPr>
      <w:r>
        <w:rPr>
          <w:rFonts w:hint="eastAsia" w:ascii="仿宋" w:hAnsi="仿宋" w:eastAsia="仿宋"/>
          <w:b/>
          <w:snapToGrid w:val="0"/>
          <w:color w:val="auto"/>
          <w:kern w:val="0"/>
          <w:sz w:val="28"/>
          <w:szCs w:val="28"/>
          <w:lang w:val="en-US" w:eastAsia="zh-CN"/>
        </w:rPr>
        <w:t>八</w:t>
      </w:r>
      <w:r>
        <w:rPr>
          <w:rFonts w:hint="eastAsia" w:ascii="仿宋_GB2312" w:eastAsia="仿宋_GB2312" w:cs="宋体"/>
          <w:color w:val="auto"/>
          <w:sz w:val="32"/>
          <w:szCs w:val="32"/>
          <w:lang w:val="en-US" w:eastAsia="zh-CN"/>
        </w:rPr>
        <w:t>、本产品其他采购人的业绩资料（如合同或发票）。</w:t>
      </w:r>
    </w:p>
    <w:p w14:paraId="74BA20FB">
      <w:pPr>
        <w:pStyle w:val="6"/>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648548DD">
      <w:pPr>
        <w:pStyle w:val="6"/>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九、其他可以证明投标人有能力完成本项目的佐证材料（如供应商、生产厂家资料等）</w:t>
      </w:r>
    </w:p>
    <w:p w14:paraId="5F9D816F">
      <w:pPr>
        <w:pStyle w:val="6"/>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spacing w:line="594" w:lineRule="exact"/>
        <w:jc w:val="left"/>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b/>
          <w:bCs/>
          <w:sz w:val="32"/>
          <w:szCs w:val="32"/>
          <w:lang w:val="en-US" w:eastAsia="zh-CN"/>
        </w:rPr>
        <w:t>十一、</w:t>
      </w:r>
      <w:r>
        <w:rPr>
          <w:rFonts w:hint="eastAsia" w:ascii="方正仿宋_GBK" w:hAnsi="方正仿宋_GBK" w:eastAsia="方正仿宋_GBK" w:cs="方正仿宋_GBK"/>
          <w:b/>
          <w:bCs/>
          <w:sz w:val="32"/>
          <w:szCs w:val="32"/>
        </w:rPr>
        <w:t>质保</w:t>
      </w:r>
      <w:r>
        <w:rPr>
          <w:rFonts w:hint="eastAsia" w:ascii="方正仿宋_GBK" w:hAnsi="方正仿宋_GBK" w:eastAsia="方正仿宋_GBK" w:cs="方正仿宋_GBK"/>
          <w:b/>
          <w:bCs/>
          <w:sz w:val="32"/>
          <w:szCs w:val="32"/>
          <w:lang w:val="en-US" w:eastAsia="zh-CN"/>
        </w:rPr>
        <w:t>期内</w:t>
      </w:r>
      <w:r>
        <w:rPr>
          <w:rFonts w:hint="eastAsia" w:ascii="方正仿宋_GBK" w:hAnsi="方正仿宋_GBK" w:eastAsia="方正仿宋_GBK" w:cs="方正仿宋_GBK"/>
          <w:b/>
          <w:bCs/>
          <w:sz w:val="32"/>
          <w:szCs w:val="32"/>
        </w:rPr>
        <w:t>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十二、质保期届满后易损配件报价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4"/>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6"/>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pStyle w:val="6"/>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十三、投标廉政承诺书</w:t>
      </w:r>
    </w:p>
    <w:p w14:paraId="24D85696">
      <w:pPr>
        <w:pStyle w:val="6"/>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6"/>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6"/>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6"/>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十四、</w:t>
      </w:r>
      <w:r>
        <w:rPr>
          <w:rFonts w:hint="eastAsia" w:ascii="方正仿宋_GBK" w:hAnsi="方正仿宋_GBK" w:eastAsia="方正仿宋_GBK" w:cs="方正仿宋_GBK"/>
          <w:color w:val="auto"/>
          <w:sz w:val="32"/>
          <w:szCs w:val="32"/>
          <w:lang w:val="en-US" w:eastAsia="zh-CN"/>
        </w:rPr>
        <w:t>投标档案袋密封要求（务必密封严实，密封不严采购人有权拒绝拆封）</w:t>
      </w:r>
    </w:p>
    <w:p w14:paraId="39B09101">
      <w:pPr>
        <w:rPr>
          <w:rFonts w:hint="default"/>
          <w:lang w:val="en-US" w:eastAsia="zh-CN"/>
        </w:rPr>
      </w:pPr>
      <w:r>
        <w:rPr>
          <w:rFonts w:hint="default"/>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3"/>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56E5276"/>
    <w:rsid w:val="06FB539B"/>
    <w:rsid w:val="07F82B6D"/>
    <w:rsid w:val="0C872834"/>
    <w:rsid w:val="0C974041"/>
    <w:rsid w:val="0CE64C8D"/>
    <w:rsid w:val="0FD01451"/>
    <w:rsid w:val="122D0B62"/>
    <w:rsid w:val="133D5E0A"/>
    <w:rsid w:val="1922346A"/>
    <w:rsid w:val="1AAE2C67"/>
    <w:rsid w:val="1AF86BE0"/>
    <w:rsid w:val="1B3306B6"/>
    <w:rsid w:val="1BDE0896"/>
    <w:rsid w:val="1CF00EFC"/>
    <w:rsid w:val="1F2F00AB"/>
    <w:rsid w:val="21426D4A"/>
    <w:rsid w:val="236757CC"/>
    <w:rsid w:val="2C3529EE"/>
    <w:rsid w:val="2FC44243"/>
    <w:rsid w:val="31092EA8"/>
    <w:rsid w:val="33FB61AD"/>
    <w:rsid w:val="342C6BC9"/>
    <w:rsid w:val="376E6279"/>
    <w:rsid w:val="38A14340"/>
    <w:rsid w:val="3D8263F7"/>
    <w:rsid w:val="44C5770F"/>
    <w:rsid w:val="44EF71C4"/>
    <w:rsid w:val="475D7492"/>
    <w:rsid w:val="482D6FF9"/>
    <w:rsid w:val="496140CE"/>
    <w:rsid w:val="4AE139DB"/>
    <w:rsid w:val="4BDB0A24"/>
    <w:rsid w:val="4C31315D"/>
    <w:rsid w:val="4F6D75ED"/>
    <w:rsid w:val="51352B6B"/>
    <w:rsid w:val="53A17F68"/>
    <w:rsid w:val="53DB6C22"/>
    <w:rsid w:val="5E932E93"/>
    <w:rsid w:val="5FA4498B"/>
    <w:rsid w:val="61130716"/>
    <w:rsid w:val="61143219"/>
    <w:rsid w:val="61707CCC"/>
    <w:rsid w:val="626B6216"/>
    <w:rsid w:val="67CF5844"/>
    <w:rsid w:val="69D01878"/>
    <w:rsid w:val="6A1F4430"/>
    <w:rsid w:val="6B247663"/>
    <w:rsid w:val="6D38732A"/>
    <w:rsid w:val="6DD05A39"/>
    <w:rsid w:val="6EC6360F"/>
    <w:rsid w:val="713118C3"/>
    <w:rsid w:val="71C02C3F"/>
    <w:rsid w:val="72BB5C94"/>
    <w:rsid w:val="732B3BA9"/>
    <w:rsid w:val="7AF0174A"/>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styleId="6">
    <w:name w:val="Body Text"/>
    <w:basedOn w:val="1"/>
    <w:next w:val="1"/>
    <w:qFormat/>
    <w:uiPriority w:val="1"/>
    <w:rPr>
      <w:rFonts w:ascii="宋体" w:hAnsi="宋体" w:cs="宋体"/>
      <w:sz w:val="24"/>
      <w:szCs w:val="24"/>
      <w:lang w:val="zh-CN" w:bidi="zh-CN"/>
    </w:r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6"/>
    <w:next w:val="13"/>
    <w:qFormat/>
    <w:uiPriority w:val="0"/>
    <w:pPr>
      <w:spacing w:line="360" w:lineRule="auto"/>
      <w:ind w:firstLine="420"/>
    </w:pPr>
    <w:rPr>
      <w:rFonts w:ascii="宋体" w:hAnsi="宋体"/>
      <w:sz w:val="24"/>
    </w:rPr>
  </w:style>
  <w:style w:type="paragraph" w:styleId="13">
    <w:name w:val="Body Text First Indent 2"/>
    <w:basedOn w:val="7"/>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6455</Words>
  <Characters>6798</Characters>
  <Lines>0</Lines>
  <Paragraphs>0</Paragraphs>
  <TotalTime>14</TotalTime>
  <ScaleCrop>false</ScaleCrop>
  <LinksUpToDate>false</LinksUpToDate>
  <CharactersWithSpaces>7539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2024-08-13T08:14:29Z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4E6D860826E94096A435A313CAD0E06D</vt:lpwstr>
  </property>
</Properties>
</file>